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C595F" w14:textId="50F3F31D" w:rsidR="0082331B" w:rsidRDefault="00E877F5" w:rsidP="00E877F5">
      <w:pPr>
        <w:pStyle w:val="Covertitle"/>
        <w:tabs>
          <w:tab w:val="left" w:pos="7680"/>
        </w:tabs>
        <w:jc w:val="left"/>
      </w:pPr>
      <w:r>
        <w:tab/>
      </w:r>
    </w:p>
    <w:p w14:paraId="115C5960" w14:textId="77777777" w:rsidR="00B12C39" w:rsidRPr="00CB4EB5" w:rsidRDefault="00B12C39" w:rsidP="00B12C39">
      <w:pPr>
        <w:pStyle w:val="Covertitle"/>
      </w:pPr>
      <w:r w:rsidRPr="004A7F1F">
        <w:t>Annex XV report</w:t>
      </w:r>
    </w:p>
    <w:p w14:paraId="115C5961" w14:textId="77777777" w:rsidR="00B12C39" w:rsidRPr="00CB4EB5" w:rsidRDefault="00B12C39" w:rsidP="00B12C39">
      <w:pPr>
        <w:pStyle w:val="Covertitle"/>
      </w:pPr>
      <w:r w:rsidRPr="00CB4EB5">
        <w:t xml:space="preserve">PROPOSAL FOR IDENTIFICATION OF A </w:t>
      </w:r>
      <w:r w:rsidR="002B58B6" w:rsidRPr="00CB4EB5">
        <w:t>SUBSTANCE OF VERY HIGH CONCERN</w:t>
      </w:r>
      <w:r w:rsidR="003C419D" w:rsidRPr="00CB4EB5">
        <w:t xml:space="preserve"> ON THE BASIS OF </w:t>
      </w:r>
      <w:r w:rsidR="003909BD" w:rsidRPr="00CB4EB5">
        <w:t xml:space="preserve">THE </w:t>
      </w:r>
      <w:r w:rsidR="003C419D" w:rsidRPr="00CB4EB5">
        <w:t>CRITERIA SET OUT IN REACH ARTICLE 57</w:t>
      </w:r>
    </w:p>
    <w:p w14:paraId="115C5962" w14:textId="77777777" w:rsidR="00B12C39" w:rsidRPr="00CB4EB5" w:rsidRDefault="00B12C39" w:rsidP="00B12C39">
      <w:pPr>
        <w:widowControl/>
        <w:spacing w:after="180"/>
        <w:jc w:val="both"/>
        <w:rPr>
          <w:szCs w:val="24"/>
          <w:lang w:eastAsia="en-US"/>
        </w:rPr>
      </w:pPr>
    </w:p>
    <w:p w14:paraId="115C5963" w14:textId="77777777" w:rsidR="00B12C39" w:rsidRPr="00CB4EB5" w:rsidRDefault="00B12C39" w:rsidP="00B12C39">
      <w:pPr>
        <w:widowControl/>
        <w:spacing w:after="180"/>
        <w:jc w:val="both"/>
        <w:rPr>
          <w:szCs w:val="24"/>
          <w:lang w:eastAsia="en-US"/>
        </w:rPr>
      </w:pPr>
    </w:p>
    <w:p w14:paraId="115C5964" w14:textId="77777777" w:rsidR="00B12C39" w:rsidRPr="00CB4EB5" w:rsidRDefault="00B12C39" w:rsidP="00B12C39">
      <w:pPr>
        <w:widowControl/>
        <w:spacing w:after="180"/>
        <w:jc w:val="both"/>
        <w:rPr>
          <w:szCs w:val="24"/>
          <w:lang w:eastAsia="en-US"/>
        </w:rPr>
      </w:pPr>
    </w:p>
    <w:p w14:paraId="115C5965" w14:textId="77777777" w:rsidR="00B12C39" w:rsidRPr="00CB4EB5" w:rsidRDefault="00B12C39" w:rsidP="00B12C39">
      <w:pPr>
        <w:widowControl/>
        <w:spacing w:after="180"/>
        <w:jc w:val="both"/>
        <w:rPr>
          <w:szCs w:val="24"/>
          <w:lang w:eastAsia="en-US"/>
        </w:rPr>
      </w:pPr>
    </w:p>
    <w:p w14:paraId="115C5966" w14:textId="6BA6C049" w:rsidR="00B12C39" w:rsidRPr="00CB4EB5" w:rsidRDefault="00B12C39" w:rsidP="00B12C39">
      <w:pPr>
        <w:widowControl/>
        <w:spacing w:after="180"/>
        <w:jc w:val="both"/>
        <w:rPr>
          <w:rStyle w:val="Strong"/>
          <w:bCs/>
        </w:rPr>
      </w:pPr>
      <w:r w:rsidRPr="00CB4EB5">
        <w:rPr>
          <w:rStyle w:val="Strong"/>
          <w:bCs/>
        </w:rPr>
        <w:t xml:space="preserve">Substance Name: </w:t>
      </w:r>
      <w:r w:rsidR="005275FD" w:rsidRPr="00EE622A">
        <w:t>Chrysene</w:t>
      </w:r>
    </w:p>
    <w:p w14:paraId="115C5967" w14:textId="2E8174C9" w:rsidR="00B12C39" w:rsidRPr="00CB4EB5" w:rsidRDefault="00B12C39" w:rsidP="00B12C39">
      <w:pPr>
        <w:widowControl/>
        <w:spacing w:after="180"/>
        <w:jc w:val="both"/>
        <w:rPr>
          <w:rStyle w:val="Strong"/>
          <w:bCs/>
        </w:rPr>
      </w:pPr>
      <w:r w:rsidRPr="00CB4EB5">
        <w:rPr>
          <w:rStyle w:val="Strong"/>
          <w:bCs/>
        </w:rPr>
        <w:t xml:space="preserve">EC Number: </w:t>
      </w:r>
      <w:r w:rsidR="005275FD" w:rsidRPr="00EE622A">
        <w:t>205-923-4</w:t>
      </w:r>
    </w:p>
    <w:p w14:paraId="115C5968" w14:textId="097DDEA2" w:rsidR="00B12C39" w:rsidRPr="004A7F1F" w:rsidRDefault="00843EE1" w:rsidP="00B12C39">
      <w:pPr>
        <w:widowControl/>
        <w:spacing w:after="180"/>
        <w:jc w:val="both"/>
        <w:rPr>
          <w:rStyle w:val="Strong"/>
          <w:bCs/>
        </w:rPr>
      </w:pPr>
      <w:r w:rsidRPr="00CB4EB5">
        <w:rPr>
          <w:rStyle w:val="Strong"/>
          <w:bCs/>
        </w:rPr>
        <w:t>CAS Numbers</w:t>
      </w:r>
      <w:r w:rsidR="00B12C39" w:rsidRPr="00CB4EB5">
        <w:rPr>
          <w:rStyle w:val="Strong"/>
          <w:bCs/>
        </w:rPr>
        <w:t xml:space="preserve">: </w:t>
      </w:r>
      <w:r w:rsidR="005275FD" w:rsidRPr="00EE622A">
        <w:t>218-01-9</w:t>
      </w:r>
    </w:p>
    <w:p w14:paraId="115C5969" w14:textId="77777777" w:rsidR="00B12C39" w:rsidRPr="00CB4EB5" w:rsidRDefault="00B12C39" w:rsidP="00B12C39">
      <w:pPr>
        <w:widowControl/>
        <w:spacing w:after="180"/>
        <w:jc w:val="both"/>
        <w:rPr>
          <w:rStyle w:val="Strong"/>
          <w:bCs/>
        </w:rPr>
      </w:pPr>
    </w:p>
    <w:p w14:paraId="115C596A" w14:textId="368A812D" w:rsidR="00B12C39" w:rsidRPr="00CB4EB5" w:rsidRDefault="00B12C39" w:rsidP="00B12C39">
      <w:pPr>
        <w:widowControl/>
        <w:spacing w:after="180"/>
        <w:jc w:val="both"/>
        <w:rPr>
          <w:rStyle w:val="Strong"/>
          <w:bCs/>
        </w:rPr>
      </w:pPr>
      <w:r w:rsidRPr="00CB4EB5">
        <w:rPr>
          <w:rStyle w:val="Strong"/>
          <w:bCs/>
        </w:rPr>
        <w:t xml:space="preserve">Submitted by: </w:t>
      </w:r>
      <w:r w:rsidR="003146DF" w:rsidRPr="00EE622A">
        <w:rPr>
          <w:rStyle w:val="Strong"/>
          <w:b w:val="0"/>
          <w:bCs/>
        </w:rPr>
        <w:t>Germany</w:t>
      </w:r>
    </w:p>
    <w:p w14:paraId="115C596B" w14:textId="3B465CCF" w:rsidR="00B12C39" w:rsidRPr="00CB4EB5" w:rsidRDefault="00B12C39" w:rsidP="00B12C39">
      <w:pPr>
        <w:widowControl/>
        <w:spacing w:after="180"/>
        <w:jc w:val="both"/>
        <w:rPr>
          <w:szCs w:val="24"/>
          <w:lang w:eastAsia="en-US"/>
        </w:rPr>
      </w:pPr>
      <w:r w:rsidRPr="00CB4EB5">
        <w:rPr>
          <w:rStyle w:val="Strong"/>
          <w:bCs/>
        </w:rPr>
        <w:t>Date:</w:t>
      </w:r>
      <w:r w:rsidRPr="00CB4EB5">
        <w:rPr>
          <w:b/>
          <w:szCs w:val="24"/>
          <w:lang w:eastAsia="en-US"/>
        </w:rPr>
        <w:t xml:space="preserve"> </w:t>
      </w:r>
      <w:r w:rsidR="005302DE" w:rsidRPr="00EE622A">
        <w:rPr>
          <w:szCs w:val="24"/>
          <w:lang w:eastAsia="en-US"/>
        </w:rPr>
        <w:t>August 2017</w:t>
      </w:r>
    </w:p>
    <w:p w14:paraId="115C5975" w14:textId="278A6BAD" w:rsidR="008A3E90" w:rsidRPr="00CB4EB5" w:rsidRDefault="00B12C39" w:rsidP="00BC4D83">
      <w:pPr>
        <w:widowControl/>
        <w:spacing w:after="180"/>
        <w:jc w:val="both"/>
      </w:pPr>
      <w:r w:rsidRPr="00CB4EB5">
        <w:br w:type="page"/>
      </w:r>
      <w:bookmarkStart w:id="0" w:name="_Toc316637271"/>
    </w:p>
    <w:p w14:paraId="115C5976" w14:textId="77777777" w:rsidR="008A3E90" w:rsidRPr="00CB4EB5" w:rsidRDefault="008A3E90" w:rsidP="008A3E90">
      <w:pPr>
        <w:rPr>
          <w:color w:val="000000"/>
        </w:rPr>
      </w:pPr>
      <w:r w:rsidRPr="00CB4EB5">
        <w:lastRenderedPageBreak/>
        <w:t xml:space="preserve">This document has been prepared according to template: </w:t>
      </w:r>
      <w:r w:rsidRPr="00CB4EB5">
        <w:rPr>
          <w:color w:val="000000"/>
        </w:rPr>
        <w:t>TEM-0049.03</w:t>
      </w:r>
    </w:p>
    <w:p w14:paraId="115C5977" w14:textId="77777777" w:rsidR="008A3E90" w:rsidRPr="00CB4EB5" w:rsidRDefault="008A3E90" w:rsidP="008A3E90">
      <w:pPr>
        <w:rPr>
          <w:color w:val="000000"/>
        </w:rPr>
      </w:pPr>
    </w:p>
    <w:p w14:paraId="115C5978" w14:textId="77777777" w:rsidR="00B12C39" w:rsidRPr="00CB4EB5" w:rsidRDefault="00B12C39" w:rsidP="00B12C39">
      <w:pPr>
        <w:pStyle w:val="Titleintro"/>
      </w:pPr>
      <w:r w:rsidRPr="00CB4EB5">
        <w:t>CONTENTS</w:t>
      </w:r>
      <w:bookmarkEnd w:id="0"/>
    </w:p>
    <w:sdt>
      <w:sdtPr>
        <w:rPr>
          <w:rFonts w:ascii="Verdana" w:hAnsi="Verdana" w:cs="Times New Roman"/>
          <w:b w:val="0"/>
          <w:bCs w:val="0"/>
          <w:caps w:val="0"/>
        </w:rPr>
        <w:id w:val="2094358525"/>
        <w:docPartObj>
          <w:docPartGallery w:val="Table of Contents"/>
          <w:docPartUnique/>
        </w:docPartObj>
      </w:sdtPr>
      <w:sdtEndPr>
        <w:rPr>
          <w:noProof/>
        </w:rPr>
      </w:sdtEndPr>
      <w:sdtContent>
        <w:p w14:paraId="5BDEFFAB" w14:textId="77777777" w:rsidR="00F51A0F" w:rsidRDefault="000721AD">
          <w:pPr>
            <w:pStyle w:val="TOC1"/>
            <w:rPr>
              <w:rFonts w:asciiTheme="minorHAnsi" w:eastAsiaTheme="minorEastAsia" w:hAnsiTheme="minorHAnsi" w:cstheme="minorBidi"/>
              <w:b w:val="0"/>
              <w:bCs w:val="0"/>
              <w:caps w:val="0"/>
              <w:noProof/>
              <w:sz w:val="22"/>
              <w:szCs w:val="22"/>
              <w:lang w:eastAsia="en-GB"/>
            </w:rPr>
          </w:pPr>
          <w:r w:rsidRPr="00CB4EB5">
            <w:fldChar w:fldCharType="begin"/>
          </w:r>
          <w:r w:rsidR="004607CB" w:rsidRPr="00CB4EB5">
            <w:instrText xml:space="preserve"> TOC \o "1-3" \h \z \u </w:instrText>
          </w:r>
          <w:r w:rsidRPr="00CB4EB5">
            <w:fldChar w:fldCharType="separate"/>
          </w:r>
          <w:hyperlink w:anchor="_Toc491868883" w:history="1">
            <w:r w:rsidR="00F51A0F" w:rsidRPr="00CB08D1">
              <w:rPr>
                <w:rStyle w:val="Hyperlink"/>
                <w:noProof/>
              </w:rPr>
              <w:t>FOREWORD</w:t>
            </w:r>
            <w:r w:rsidR="00F51A0F">
              <w:rPr>
                <w:noProof/>
                <w:webHidden/>
              </w:rPr>
              <w:tab/>
            </w:r>
            <w:r w:rsidR="00F51A0F">
              <w:rPr>
                <w:noProof/>
                <w:webHidden/>
              </w:rPr>
              <w:fldChar w:fldCharType="begin"/>
            </w:r>
            <w:r w:rsidR="00F51A0F">
              <w:rPr>
                <w:noProof/>
                <w:webHidden/>
              </w:rPr>
              <w:instrText xml:space="preserve"> PAGEREF _Toc491868883 \h </w:instrText>
            </w:r>
            <w:r w:rsidR="00F51A0F">
              <w:rPr>
                <w:noProof/>
                <w:webHidden/>
              </w:rPr>
            </w:r>
            <w:r w:rsidR="00F51A0F">
              <w:rPr>
                <w:noProof/>
                <w:webHidden/>
              </w:rPr>
              <w:fldChar w:fldCharType="separate"/>
            </w:r>
            <w:r w:rsidR="00E32EE3">
              <w:rPr>
                <w:noProof/>
                <w:webHidden/>
              </w:rPr>
              <w:t>5</w:t>
            </w:r>
            <w:r w:rsidR="00F51A0F">
              <w:rPr>
                <w:noProof/>
                <w:webHidden/>
              </w:rPr>
              <w:fldChar w:fldCharType="end"/>
            </w:r>
          </w:hyperlink>
        </w:p>
        <w:p w14:paraId="15032C66" w14:textId="77777777" w:rsidR="00F51A0F" w:rsidRDefault="00EE622A">
          <w:pPr>
            <w:pStyle w:val="TOC1"/>
            <w:rPr>
              <w:rFonts w:asciiTheme="minorHAnsi" w:eastAsiaTheme="minorEastAsia" w:hAnsiTheme="minorHAnsi" w:cstheme="minorBidi"/>
              <w:b w:val="0"/>
              <w:bCs w:val="0"/>
              <w:caps w:val="0"/>
              <w:noProof/>
              <w:sz w:val="22"/>
              <w:szCs w:val="22"/>
              <w:lang w:eastAsia="en-GB"/>
            </w:rPr>
          </w:pPr>
          <w:hyperlink w:anchor="_Toc491868884" w:history="1">
            <w:r w:rsidR="00F51A0F" w:rsidRPr="00CB08D1">
              <w:rPr>
                <w:rStyle w:val="Hyperlink"/>
                <w:noProof/>
              </w:rPr>
              <w:t>PROPOSAL FOR IDENTIFICATION OF A SUBSTANCE OF VERY HIGH CONCERN ON THE BASIS OF THE CRITERIA SET OUT IN REACH ARTICLE 57</w:t>
            </w:r>
            <w:r w:rsidR="00F51A0F">
              <w:rPr>
                <w:noProof/>
                <w:webHidden/>
              </w:rPr>
              <w:tab/>
            </w:r>
            <w:r w:rsidR="00F51A0F">
              <w:rPr>
                <w:noProof/>
                <w:webHidden/>
              </w:rPr>
              <w:fldChar w:fldCharType="begin"/>
            </w:r>
            <w:r w:rsidR="00F51A0F">
              <w:rPr>
                <w:noProof/>
                <w:webHidden/>
              </w:rPr>
              <w:instrText xml:space="preserve"> PAGEREF _Toc491868884 \h </w:instrText>
            </w:r>
            <w:r w:rsidR="00F51A0F">
              <w:rPr>
                <w:noProof/>
                <w:webHidden/>
              </w:rPr>
            </w:r>
            <w:r w:rsidR="00F51A0F">
              <w:rPr>
                <w:noProof/>
                <w:webHidden/>
              </w:rPr>
              <w:fldChar w:fldCharType="separate"/>
            </w:r>
            <w:r w:rsidR="00E32EE3">
              <w:rPr>
                <w:noProof/>
                <w:webHidden/>
              </w:rPr>
              <w:t>6</w:t>
            </w:r>
            <w:r w:rsidR="00F51A0F">
              <w:rPr>
                <w:noProof/>
                <w:webHidden/>
              </w:rPr>
              <w:fldChar w:fldCharType="end"/>
            </w:r>
          </w:hyperlink>
        </w:p>
        <w:p w14:paraId="35CB0066" w14:textId="77777777" w:rsidR="00F51A0F" w:rsidRDefault="00EE622A">
          <w:pPr>
            <w:pStyle w:val="TOC1"/>
            <w:rPr>
              <w:rFonts w:asciiTheme="minorHAnsi" w:eastAsiaTheme="minorEastAsia" w:hAnsiTheme="minorHAnsi" w:cstheme="minorBidi"/>
              <w:b w:val="0"/>
              <w:bCs w:val="0"/>
              <w:caps w:val="0"/>
              <w:noProof/>
              <w:sz w:val="22"/>
              <w:szCs w:val="22"/>
              <w:lang w:eastAsia="en-GB"/>
            </w:rPr>
          </w:pPr>
          <w:hyperlink w:anchor="_Toc491868885" w:history="1">
            <w:r w:rsidR="00F51A0F" w:rsidRPr="00CB08D1">
              <w:rPr>
                <w:rStyle w:val="Hyperlink"/>
                <w:noProof/>
              </w:rPr>
              <w:t>PART I</w:t>
            </w:r>
            <w:r w:rsidR="00F51A0F">
              <w:rPr>
                <w:noProof/>
                <w:webHidden/>
              </w:rPr>
              <w:tab/>
            </w:r>
            <w:r w:rsidR="00F51A0F">
              <w:rPr>
                <w:noProof/>
                <w:webHidden/>
              </w:rPr>
              <w:fldChar w:fldCharType="begin"/>
            </w:r>
            <w:r w:rsidR="00F51A0F">
              <w:rPr>
                <w:noProof/>
                <w:webHidden/>
              </w:rPr>
              <w:instrText xml:space="preserve"> PAGEREF _Toc491868885 \h </w:instrText>
            </w:r>
            <w:r w:rsidR="00F51A0F">
              <w:rPr>
                <w:noProof/>
                <w:webHidden/>
              </w:rPr>
            </w:r>
            <w:r w:rsidR="00F51A0F">
              <w:rPr>
                <w:noProof/>
                <w:webHidden/>
              </w:rPr>
              <w:fldChar w:fldCharType="separate"/>
            </w:r>
            <w:r w:rsidR="00E32EE3">
              <w:rPr>
                <w:noProof/>
                <w:webHidden/>
              </w:rPr>
              <w:t>8</w:t>
            </w:r>
            <w:r w:rsidR="00F51A0F">
              <w:rPr>
                <w:noProof/>
                <w:webHidden/>
              </w:rPr>
              <w:fldChar w:fldCharType="end"/>
            </w:r>
          </w:hyperlink>
        </w:p>
        <w:p w14:paraId="47DB1D80" w14:textId="77777777" w:rsidR="00F51A0F" w:rsidRDefault="00EE622A">
          <w:pPr>
            <w:pStyle w:val="TOC1"/>
            <w:rPr>
              <w:rFonts w:asciiTheme="minorHAnsi" w:eastAsiaTheme="minorEastAsia" w:hAnsiTheme="minorHAnsi" w:cstheme="minorBidi"/>
              <w:b w:val="0"/>
              <w:bCs w:val="0"/>
              <w:caps w:val="0"/>
              <w:noProof/>
              <w:sz w:val="22"/>
              <w:szCs w:val="22"/>
              <w:lang w:eastAsia="en-GB"/>
            </w:rPr>
          </w:pPr>
          <w:hyperlink w:anchor="_Toc491868886" w:history="1">
            <w:r w:rsidR="00F51A0F" w:rsidRPr="00CB08D1">
              <w:rPr>
                <w:rStyle w:val="Hyperlink"/>
                <w:noProof/>
              </w:rPr>
              <w:t>Justification</w:t>
            </w:r>
            <w:r w:rsidR="00F51A0F">
              <w:rPr>
                <w:noProof/>
                <w:webHidden/>
              </w:rPr>
              <w:tab/>
            </w:r>
            <w:r w:rsidR="00F51A0F">
              <w:rPr>
                <w:noProof/>
                <w:webHidden/>
              </w:rPr>
              <w:fldChar w:fldCharType="begin"/>
            </w:r>
            <w:r w:rsidR="00F51A0F">
              <w:rPr>
                <w:noProof/>
                <w:webHidden/>
              </w:rPr>
              <w:instrText xml:space="preserve"> PAGEREF _Toc491868886 \h </w:instrText>
            </w:r>
            <w:r w:rsidR="00F51A0F">
              <w:rPr>
                <w:noProof/>
                <w:webHidden/>
              </w:rPr>
            </w:r>
            <w:r w:rsidR="00F51A0F">
              <w:rPr>
                <w:noProof/>
                <w:webHidden/>
              </w:rPr>
              <w:fldChar w:fldCharType="separate"/>
            </w:r>
            <w:r w:rsidR="00E32EE3">
              <w:rPr>
                <w:noProof/>
                <w:webHidden/>
              </w:rPr>
              <w:t>8</w:t>
            </w:r>
            <w:r w:rsidR="00F51A0F">
              <w:rPr>
                <w:noProof/>
                <w:webHidden/>
              </w:rPr>
              <w:fldChar w:fldCharType="end"/>
            </w:r>
          </w:hyperlink>
        </w:p>
        <w:p w14:paraId="3C07862D" w14:textId="77777777" w:rsidR="00F51A0F" w:rsidRDefault="00EE622A">
          <w:pPr>
            <w:pStyle w:val="TOC1"/>
            <w:rPr>
              <w:rFonts w:asciiTheme="minorHAnsi" w:eastAsiaTheme="minorEastAsia" w:hAnsiTheme="minorHAnsi" w:cstheme="minorBidi"/>
              <w:b w:val="0"/>
              <w:bCs w:val="0"/>
              <w:caps w:val="0"/>
              <w:noProof/>
              <w:sz w:val="22"/>
              <w:szCs w:val="22"/>
              <w:lang w:eastAsia="en-GB"/>
            </w:rPr>
          </w:pPr>
          <w:hyperlink w:anchor="_Toc491868887" w:history="1">
            <w:r w:rsidR="00F51A0F" w:rsidRPr="00CB08D1">
              <w:rPr>
                <w:rStyle w:val="Hyperlink"/>
                <w:noProof/>
              </w:rPr>
              <w:t>1. Identity of the substance and physical and chemical properties</w:t>
            </w:r>
            <w:r w:rsidR="00F51A0F">
              <w:rPr>
                <w:noProof/>
                <w:webHidden/>
              </w:rPr>
              <w:tab/>
            </w:r>
            <w:r w:rsidR="00F51A0F">
              <w:rPr>
                <w:noProof/>
                <w:webHidden/>
              </w:rPr>
              <w:fldChar w:fldCharType="begin"/>
            </w:r>
            <w:r w:rsidR="00F51A0F">
              <w:rPr>
                <w:noProof/>
                <w:webHidden/>
              </w:rPr>
              <w:instrText xml:space="preserve"> PAGEREF _Toc491868887 \h </w:instrText>
            </w:r>
            <w:r w:rsidR="00F51A0F">
              <w:rPr>
                <w:noProof/>
                <w:webHidden/>
              </w:rPr>
            </w:r>
            <w:r w:rsidR="00F51A0F">
              <w:rPr>
                <w:noProof/>
                <w:webHidden/>
              </w:rPr>
              <w:fldChar w:fldCharType="separate"/>
            </w:r>
            <w:r w:rsidR="00E32EE3">
              <w:rPr>
                <w:noProof/>
                <w:webHidden/>
              </w:rPr>
              <w:t>8</w:t>
            </w:r>
            <w:r w:rsidR="00F51A0F">
              <w:rPr>
                <w:noProof/>
                <w:webHidden/>
              </w:rPr>
              <w:fldChar w:fldCharType="end"/>
            </w:r>
          </w:hyperlink>
        </w:p>
        <w:p w14:paraId="07B33B8D" w14:textId="77777777" w:rsidR="00F51A0F" w:rsidRDefault="00EE622A">
          <w:pPr>
            <w:pStyle w:val="TOC2"/>
            <w:tabs>
              <w:tab w:val="left" w:pos="800"/>
            </w:tabs>
            <w:rPr>
              <w:rFonts w:asciiTheme="minorHAnsi" w:eastAsiaTheme="minorEastAsia" w:hAnsiTheme="minorHAnsi" w:cstheme="minorBidi"/>
              <w:noProof/>
              <w:sz w:val="22"/>
              <w:szCs w:val="22"/>
              <w:lang w:eastAsia="en-GB"/>
            </w:rPr>
          </w:pPr>
          <w:hyperlink w:anchor="_Toc491868888" w:history="1">
            <w:r w:rsidR="00F51A0F" w:rsidRPr="00CB08D1">
              <w:rPr>
                <w:rStyle w:val="Hyperlink"/>
                <w:rFonts w:cs="Times New Roman"/>
                <w:noProof/>
              </w:rPr>
              <w:t>1.1</w:t>
            </w:r>
            <w:r w:rsidR="00F51A0F">
              <w:rPr>
                <w:rFonts w:asciiTheme="minorHAnsi" w:eastAsiaTheme="minorEastAsia" w:hAnsiTheme="minorHAnsi" w:cstheme="minorBidi"/>
                <w:noProof/>
                <w:sz w:val="22"/>
                <w:szCs w:val="22"/>
                <w:lang w:eastAsia="en-GB"/>
              </w:rPr>
              <w:tab/>
            </w:r>
            <w:r w:rsidR="00F51A0F" w:rsidRPr="00CB08D1">
              <w:rPr>
                <w:rStyle w:val="Hyperlink"/>
                <w:noProof/>
              </w:rPr>
              <w:t>Name and other identifiers of the substance</w:t>
            </w:r>
            <w:r w:rsidR="00F51A0F">
              <w:rPr>
                <w:noProof/>
                <w:webHidden/>
              </w:rPr>
              <w:tab/>
            </w:r>
            <w:r w:rsidR="00F51A0F">
              <w:rPr>
                <w:noProof/>
                <w:webHidden/>
              </w:rPr>
              <w:fldChar w:fldCharType="begin"/>
            </w:r>
            <w:r w:rsidR="00F51A0F">
              <w:rPr>
                <w:noProof/>
                <w:webHidden/>
              </w:rPr>
              <w:instrText xml:space="preserve"> PAGEREF _Toc491868888 \h </w:instrText>
            </w:r>
            <w:r w:rsidR="00F51A0F">
              <w:rPr>
                <w:noProof/>
                <w:webHidden/>
              </w:rPr>
            </w:r>
            <w:r w:rsidR="00F51A0F">
              <w:rPr>
                <w:noProof/>
                <w:webHidden/>
              </w:rPr>
              <w:fldChar w:fldCharType="separate"/>
            </w:r>
            <w:r w:rsidR="00E32EE3">
              <w:rPr>
                <w:noProof/>
                <w:webHidden/>
              </w:rPr>
              <w:t>8</w:t>
            </w:r>
            <w:r w:rsidR="00F51A0F">
              <w:rPr>
                <w:noProof/>
                <w:webHidden/>
              </w:rPr>
              <w:fldChar w:fldCharType="end"/>
            </w:r>
          </w:hyperlink>
        </w:p>
        <w:p w14:paraId="0200437A" w14:textId="77777777" w:rsidR="00F51A0F" w:rsidRDefault="00EE622A">
          <w:pPr>
            <w:pStyle w:val="TOC2"/>
            <w:rPr>
              <w:rFonts w:asciiTheme="minorHAnsi" w:eastAsiaTheme="minorEastAsia" w:hAnsiTheme="minorHAnsi" w:cstheme="minorBidi"/>
              <w:noProof/>
              <w:sz w:val="22"/>
              <w:szCs w:val="22"/>
              <w:lang w:eastAsia="en-GB"/>
            </w:rPr>
          </w:pPr>
          <w:hyperlink w:anchor="_Toc491868889" w:history="1">
            <w:r w:rsidR="00F51A0F" w:rsidRPr="00CB08D1">
              <w:rPr>
                <w:rStyle w:val="Hyperlink"/>
                <w:noProof/>
              </w:rPr>
              <w:t>1.2 Composition of the substance</w:t>
            </w:r>
            <w:r w:rsidR="00F51A0F">
              <w:rPr>
                <w:noProof/>
                <w:webHidden/>
              </w:rPr>
              <w:tab/>
            </w:r>
            <w:r w:rsidR="00F51A0F">
              <w:rPr>
                <w:noProof/>
                <w:webHidden/>
              </w:rPr>
              <w:fldChar w:fldCharType="begin"/>
            </w:r>
            <w:r w:rsidR="00F51A0F">
              <w:rPr>
                <w:noProof/>
                <w:webHidden/>
              </w:rPr>
              <w:instrText xml:space="preserve"> PAGEREF _Toc491868889 \h </w:instrText>
            </w:r>
            <w:r w:rsidR="00F51A0F">
              <w:rPr>
                <w:noProof/>
                <w:webHidden/>
              </w:rPr>
            </w:r>
            <w:r w:rsidR="00F51A0F">
              <w:rPr>
                <w:noProof/>
                <w:webHidden/>
              </w:rPr>
              <w:fldChar w:fldCharType="separate"/>
            </w:r>
            <w:r w:rsidR="00E32EE3">
              <w:rPr>
                <w:noProof/>
                <w:webHidden/>
              </w:rPr>
              <w:t>9</w:t>
            </w:r>
            <w:r w:rsidR="00F51A0F">
              <w:rPr>
                <w:noProof/>
                <w:webHidden/>
              </w:rPr>
              <w:fldChar w:fldCharType="end"/>
            </w:r>
          </w:hyperlink>
        </w:p>
        <w:p w14:paraId="5F295C16" w14:textId="77777777" w:rsidR="00F51A0F" w:rsidRDefault="00EE622A">
          <w:pPr>
            <w:pStyle w:val="TOC2"/>
            <w:rPr>
              <w:rFonts w:asciiTheme="minorHAnsi" w:eastAsiaTheme="minorEastAsia" w:hAnsiTheme="minorHAnsi" w:cstheme="minorBidi"/>
              <w:noProof/>
              <w:sz w:val="22"/>
              <w:szCs w:val="22"/>
              <w:lang w:eastAsia="en-GB"/>
            </w:rPr>
          </w:pPr>
          <w:hyperlink w:anchor="_Toc491868890" w:history="1">
            <w:r w:rsidR="00F51A0F" w:rsidRPr="00CB08D1">
              <w:rPr>
                <w:rStyle w:val="Hyperlink"/>
                <w:noProof/>
              </w:rPr>
              <w:t>1.3 Physicochemical properties</w:t>
            </w:r>
            <w:r w:rsidR="00F51A0F">
              <w:rPr>
                <w:noProof/>
                <w:webHidden/>
              </w:rPr>
              <w:tab/>
            </w:r>
            <w:r w:rsidR="00F51A0F">
              <w:rPr>
                <w:noProof/>
                <w:webHidden/>
              </w:rPr>
              <w:fldChar w:fldCharType="begin"/>
            </w:r>
            <w:r w:rsidR="00F51A0F">
              <w:rPr>
                <w:noProof/>
                <w:webHidden/>
              </w:rPr>
              <w:instrText xml:space="preserve"> PAGEREF _Toc491868890 \h </w:instrText>
            </w:r>
            <w:r w:rsidR="00F51A0F">
              <w:rPr>
                <w:noProof/>
                <w:webHidden/>
              </w:rPr>
            </w:r>
            <w:r w:rsidR="00F51A0F">
              <w:rPr>
                <w:noProof/>
                <w:webHidden/>
              </w:rPr>
              <w:fldChar w:fldCharType="separate"/>
            </w:r>
            <w:r w:rsidR="00E32EE3">
              <w:rPr>
                <w:noProof/>
                <w:webHidden/>
              </w:rPr>
              <w:t>10</w:t>
            </w:r>
            <w:r w:rsidR="00F51A0F">
              <w:rPr>
                <w:noProof/>
                <w:webHidden/>
              </w:rPr>
              <w:fldChar w:fldCharType="end"/>
            </w:r>
          </w:hyperlink>
        </w:p>
        <w:p w14:paraId="50BE9DBF" w14:textId="77777777" w:rsidR="00F51A0F" w:rsidRDefault="00EE622A">
          <w:pPr>
            <w:pStyle w:val="TOC1"/>
            <w:rPr>
              <w:rFonts w:asciiTheme="minorHAnsi" w:eastAsiaTheme="minorEastAsia" w:hAnsiTheme="minorHAnsi" w:cstheme="minorBidi"/>
              <w:b w:val="0"/>
              <w:bCs w:val="0"/>
              <w:caps w:val="0"/>
              <w:noProof/>
              <w:sz w:val="22"/>
              <w:szCs w:val="22"/>
              <w:lang w:eastAsia="en-GB"/>
            </w:rPr>
          </w:pPr>
          <w:hyperlink w:anchor="_Toc491868891" w:history="1">
            <w:r w:rsidR="00F51A0F" w:rsidRPr="00CB08D1">
              <w:rPr>
                <w:rStyle w:val="Hyperlink"/>
                <w:noProof/>
              </w:rPr>
              <w:t>2. Harmonised classification and labelling</w:t>
            </w:r>
            <w:r w:rsidR="00F51A0F">
              <w:rPr>
                <w:noProof/>
                <w:webHidden/>
              </w:rPr>
              <w:tab/>
            </w:r>
            <w:r w:rsidR="00F51A0F">
              <w:rPr>
                <w:noProof/>
                <w:webHidden/>
              </w:rPr>
              <w:fldChar w:fldCharType="begin"/>
            </w:r>
            <w:r w:rsidR="00F51A0F">
              <w:rPr>
                <w:noProof/>
                <w:webHidden/>
              </w:rPr>
              <w:instrText xml:space="preserve"> PAGEREF _Toc491868891 \h </w:instrText>
            </w:r>
            <w:r w:rsidR="00F51A0F">
              <w:rPr>
                <w:noProof/>
                <w:webHidden/>
              </w:rPr>
            </w:r>
            <w:r w:rsidR="00F51A0F">
              <w:rPr>
                <w:noProof/>
                <w:webHidden/>
              </w:rPr>
              <w:fldChar w:fldCharType="separate"/>
            </w:r>
            <w:r w:rsidR="00E32EE3">
              <w:rPr>
                <w:noProof/>
                <w:webHidden/>
              </w:rPr>
              <w:t>11</w:t>
            </w:r>
            <w:r w:rsidR="00F51A0F">
              <w:rPr>
                <w:noProof/>
                <w:webHidden/>
              </w:rPr>
              <w:fldChar w:fldCharType="end"/>
            </w:r>
          </w:hyperlink>
        </w:p>
        <w:p w14:paraId="3BB68C7E" w14:textId="77777777" w:rsidR="00F51A0F" w:rsidRDefault="00EE622A">
          <w:pPr>
            <w:pStyle w:val="TOC1"/>
            <w:rPr>
              <w:rFonts w:asciiTheme="minorHAnsi" w:eastAsiaTheme="minorEastAsia" w:hAnsiTheme="minorHAnsi" w:cstheme="minorBidi"/>
              <w:b w:val="0"/>
              <w:bCs w:val="0"/>
              <w:caps w:val="0"/>
              <w:noProof/>
              <w:sz w:val="22"/>
              <w:szCs w:val="22"/>
              <w:lang w:eastAsia="en-GB"/>
            </w:rPr>
          </w:pPr>
          <w:hyperlink w:anchor="_Toc491868892" w:history="1">
            <w:r w:rsidR="00F51A0F" w:rsidRPr="00CB08D1">
              <w:rPr>
                <w:rStyle w:val="Hyperlink"/>
                <w:noProof/>
              </w:rPr>
              <w:t>3. Environmental fate properties</w:t>
            </w:r>
            <w:r w:rsidR="00F51A0F">
              <w:rPr>
                <w:noProof/>
                <w:webHidden/>
              </w:rPr>
              <w:tab/>
            </w:r>
            <w:r w:rsidR="00F51A0F">
              <w:rPr>
                <w:noProof/>
                <w:webHidden/>
              </w:rPr>
              <w:fldChar w:fldCharType="begin"/>
            </w:r>
            <w:r w:rsidR="00F51A0F">
              <w:rPr>
                <w:noProof/>
                <w:webHidden/>
              </w:rPr>
              <w:instrText xml:space="preserve"> PAGEREF _Toc491868892 \h </w:instrText>
            </w:r>
            <w:r w:rsidR="00F51A0F">
              <w:rPr>
                <w:noProof/>
                <w:webHidden/>
              </w:rPr>
            </w:r>
            <w:r w:rsidR="00F51A0F">
              <w:rPr>
                <w:noProof/>
                <w:webHidden/>
              </w:rPr>
              <w:fldChar w:fldCharType="separate"/>
            </w:r>
            <w:r w:rsidR="00E32EE3">
              <w:rPr>
                <w:noProof/>
                <w:webHidden/>
              </w:rPr>
              <w:t>12</w:t>
            </w:r>
            <w:r w:rsidR="00F51A0F">
              <w:rPr>
                <w:noProof/>
                <w:webHidden/>
              </w:rPr>
              <w:fldChar w:fldCharType="end"/>
            </w:r>
          </w:hyperlink>
        </w:p>
        <w:p w14:paraId="65388B06" w14:textId="77777777" w:rsidR="00F51A0F" w:rsidRDefault="00EE622A">
          <w:pPr>
            <w:pStyle w:val="TOC2"/>
            <w:rPr>
              <w:rFonts w:asciiTheme="minorHAnsi" w:eastAsiaTheme="minorEastAsia" w:hAnsiTheme="minorHAnsi" w:cstheme="minorBidi"/>
              <w:noProof/>
              <w:sz w:val="22"/>
              <w:szCs w:val="22"/>
              <w:lang w:eastAsia="en-GB"/>
            </w:rPr>
          </w:pPr>
          <w:hyperlink w:anchor="_Toc491868893" w:history="1">
            <w:r w:rsidR="00F51A0F" w:rsidRPr="00CB08D1">
              <w:rPr>
                <w:rStyle w:val="Hyperlink"/>
                <w:noProof/>
              </w:rPr>
              <w:t>3.1 Degradation</w:t>
            </w:r>
            <w:r w:rsidR="00F51A0F">
              <w:rPr>
                <w:noProof/>
                <w:webHidden/>
              </w:rPr>
              <w:tab/>
            </w:r>
            <w:r w:rsidR="00F51A0F">
              <w:rPr>
                <w:noProof/>
                <w:webHidden/>
              </w:rPr>
              <w:fldChar w:fldCharType="begin"/>
            </w:r>
            <w:r w:rsidR="00F51A0F">
              <w:rPr>
                <w:noProof/>
                <w:webHidden/>
              </w:rPr>
              <w:instrText xml:space="preserve"> PAGEREF _Toc491868893 \h </w:instrText>
            </w:r>
            <w:r w:rsidR="00F51A0F">
              <w:rPr>
                <w:noProof/>
                <w:webHidden/>
              </w:rPr>
            </w:r>
            <w:r w:rsidR="00F51A0F">
              <w:rPr>
                <w:noProof/>
                <w:webHidden/>
              </w:rPr>
              <w:fldChar w:fldCharType="separate"/>
            </w:r>
            <w:r w:rsidR="00E32EE3">
              <w:rPr>
                <w:noProof/>
                <w:webHidden/>
              </w:rPr>
              <w:t>12</w:t>
            </w:r>
            <w:r w:rsidR="00F51A0F">
              <w:rPr>
                <w:noProof/>
                <w:webHidden/>
              </w:rPr>
              <w:fldChar w:fldCharType="end"/>
            </w:r>
          </w:hyperlink>
        </w:p>
        <w:p w14:paraId="453A496F" w14:textId="77777777" w:rsidR="00F51A0F" w:rsidRDefault="00EE622A">
          <w:pPr>
            <w:pStyle w:val="TOC3"/>
            <w:rPr>
              <w:rFonts w:asciiTheme="minorHAnsi" w:eastAsiaTheme="minorEastAsia" w:hAnsiTheme="minorHAnsi" w:cstheme="minorBidi"/>
              <w:i w:val="0"/>
              <w:iCs w:val="0"/>
              <w:noProof/>
              <w:sz w:val="22"/>
              <w:szCs w:val="22"/>
              <w:lang w:eastAsia="en-GB"/>
            </w:rPr>
          </w:pPr>
          <w:hyperlink w:anchor="_Toc491868894" w:history="1">
            <w:r w:rsidR="00F51A0F" w:rsidRPr="00CB08D1">
              <w:rPr>
                <w:rStyle w:val="Hyperlink"/>
                <w:noProof/>
              </w:rPr>
              <w:t>3.1.1 Abiotic degradation</w:t>
            </w:r>
            <w:r w:rsidR="00F51A0F">
              <w:rPr>
                <w:noProof/>
                <w:webHidden/>
              </w:rPr>
              <w:tab/>
            </w:r>
            <w:r w:rsidR="00F51A0F">
              <w:rPr>
                <w:noProof/>
                <w:webHidden/>
              </w:rPr>
              <w:fldChar w:fldCharType="begin"/>
            </w:r>
            <w:r w:rsidR="00F51A0F">
              <w:rPr>
                <w:noProof/>
                <w:webHidden/>
              </w:rPr>
              <w:instrText xml:space="preserve"> PAGEREF _Toc491868894 \h </w:instrText>
            </w:r>
            <w:r w:rsidR="00F51A0F">
              <w:rPr>
                <w:noProof/>
                <w:webHidden/>
              </w:rPr>
            </w:r>
            <w:r w:rsidR="00F51A0F">
              <w:rPr>
                <w:noProof/>
                <w:webHidden/>
              </w:rPr>
              <w:fldChar w:fldCharType="separate"/>
            </w:r>
            <w:r w:rsidR="00E32EE3">
              <w:rPr>
                <w:noProof/>
                <w:webHidden/>
              </w:rPr>
              <w:t>12</w:t>
            </w:r>
            <w:r w:rsidR="00F51A0F">
              <w:rPr>
                <w:noProof/>
                <w:webHidden/>
              </w:rPr>
              <w:fldChar w:fldCharType="end"/>
            </w:r>
          </w:hyperlink>
        </w:p>
        <w:p w14:paraId="68200283" w14:textId="77777777" w:rsidR="00F51A0F" w:rsidRDefault="00EE622A">
          <w:pPr>
            <w:pStyle w:val="TOC3"/>
            <w:rPr>
              <w:rFonts w:asciiTheme="minorHAnsi" w:eastAsiaTheme="minorEastAsia" w:hAnsiTheme="minorHAnsi" w:cstheme="minorBidi"/>
              <w:i w:val="0"/>
              <w:iCs w:val="0"/>
              <w:noProof/>
              <w:sz w:val="22"/>
              <w:szCs w:val="22"/>
              <w:lang w:eastAsia="en-GB"/>
            </w:rPr>
          </w:pPr>
          <w:hyperlink w:anchor="_Toc491868895" w:history="1">
            <w:r w:rsidR="00F51A0F" w:rsidRPr="00CB08D1">
              <w:rPr>
                <w:rStyle w:val="Hyperlink"/>
                <w:noProof/>
              </w:rPr>
              <w:t>3.1.2 Biodegradation</w:t>
            </w:r>
            <w:r w:rsidR="00F51A0F">
              <w:rPr>
                <w:noProof/>
                <w:webHidden/>
              </w:rPr>
              <w:tab/>
            </w:r>
            <w:r w:rsidR="00F51A0F">
              <w:rPr>
                <w:noProof/>
                <w:webHidden/>
              </w:rPr>
              <w:fldChar w:fldCharType="begin"/>
            </w:r>
            <w:r w:rsidR="00F51A0F">
              <w:rPr>
                <w:noProof/>
                <w:webHidden/>
              </w:rPr>
              <w:instrText xml:space="preserve"> PAGEREF _Toc491868895 \h </w:instrText>
            </w:r>
            <w:r w:rsidR="00F51A0F">
              <w:rPr>
                <w:noProof/>
                <w:webHidden/>
              </w:rPr>
            </w:r>
            <w:r w:rsidR="00F51A0F">
              <w:rPr>
                <w:noProof/>
                <w:webHidden/>
              </w:rPr>
              <w:fldChar w:fldCharType="separate"/>
            </w:r>
            <w:r w:rsidR="00E32EE3">
              <w:rPr>
                <w:noProof/>
                <w:webHidden/>
              </w:rPr>
              <w:t>13</w:t>
            </w:r>
            <w:r w:rsidR="00F51A0F">
              <w:rPr>
                <w:noProof/>
                <w:webHidden/>
              </w:rPr>
              <w:fldChar w:fldCharType="end"/>
            </w:r>
          </w:hyperlink>
        </w:p>
        <w:p w14:paraId="2F0D379A" w14:textId="77777777" w:rsidR="00F51A0F" w:rsidRDefault="00EE622A">
          <w:pPr>
            <w:pStyle w:val="TOC3"/>
            <w:rPr>
              <w:rFonts w:asciiTheme="minorHAnsi" w:eastAsiaTheme="minorEastAsia" w:hAnsiTheme="minorHAnsi" w:cstheme="minorBidi"/>
              <w:i w:val="0"/>
              <w:iCs w:val="0"/>
              <w:noProof/>
              <w:sz w:val="22"/>
              <w:szCs w:val="22"/>
              <w:lang w:eastAsia="en-GB"/>
            </w:rPr>
          </w:pPr>
          <w:hyperlink w:anchor="_Toc491868896" w:history="1">
            <w:r w:rsidR="00F51A0F" w:rsidRPr="00CB08D1">
              <w:rPr>
                <w:rStyle w:val="Hyperlink"/>
                <w:noProof/>
              </w:rPr>
              <w:t>3.1.3 Summary and discussion of degradation</w:t>
            </w:r>
            <w:r w:rsidR="00F51A0F">
              <w:rPr>
                <w:noProof/>
                <w:webHidden/>
              </w:rPr>
              <w:tab/>
            </w:r>
            <w:r w:rsidR="00F51A0F">
              <w:rPr>
                <w:noProof/>
                <w:webHidden/>
              </w:rPr>
              <w:fldChar w:fldCharType="begin"/>
            </w:r>
            <w:r w:rsidR="00F51A0F">
              <w:rPr>
                <w:noProof/>
                <w:webHidden/>
              </w:rPr>
              <w:instrText xml:space="preserve"> PAGEREF _Toc491868896 \h </w:instrText>
            </w:r>
            <w:r w:rsidR="00F51A0F">
              <w:rPr>
                <w:noProof/>
                <w:webHidden/>
              </w:rPr>
            </w:r>
            <w:r w:rsidR="00F51A0F">
              <w:rPr>
                <w:noProof/>
                <w:webHidden/>
              </w:rPr>
              <w:fldChar w:fldCharType="separate"/>
            </w:r>
            <w:r w:rsidR="00E32EE3">
              <w:rPr>
                <w:noProof/>
                <w:webHidden/>
              </w:rPr>
              <w:t>15</w:t>
            </w:r>
            <w:r w:rsidR="00F51A0F">
              <w:rPr>
                <w:noProof/>
                <w:webHidden/>
              </w:rPr>
              <w:fldChar w:fldCharType="end"/>
            </w:r>
          </w:hyperlink>
        </w:p>
        <w:p w14:paraId="291AEAE2" w14:textId="77777777" w:rsidR="00F51A0F" w:rsidRDefault="00EE622A">
          <w:pPr>
            <w:pStyle w:val="TOC2"/>
            <w:rPr>
              <w:rFonts w:asciiTheme="minorHAnsi" w:eastAsiaTheme="minorEastAsia" w:hAnsiTheme="minorHAnsi" w:cstheme="minorBidi"/>
              <w:noProof/>
              <w:sz w:val="22"/>
              <w:szCs w:val="22"/>
              <w:lang w:eastAsia="en-GB"/>
            </w:rPr>
          </w:pPr>
          <w:hyperlink w:anchor="_Toc491868897" w:history="1">
            <w:r w:rsidR="00F51A0F" w:rsidRPr="00CB08D1">
              <w:rPr>
                <w:rStyle w:val="Hyperlink"/>
                <w:noProof/>
              </w:rPr>
              <w:t>3.2 Environmental distribution</w:t>
            </w:r>
            <w:r w:rsidR="00F51A0F">
              <w:rPr>
                <w:noProof/>
                <w:webHidden/>
              </w:rPr>
              <w:tab/>
            </w:r>
            <w:r w:rsidR="00F51A0F">
              <w:rPr>
                <w:noProof/>
                <w:webHidden/>
              </w:rPr>
              <w:fldChar w:fldCharType="begin"/>
            </w:r>
            <w:r w:rsidR="00F51A0F">
              <w:rPr>
                <w:noProof/>
                <w:webHidden/>
              </w:rPr>
              <w:instrText xml:space="preserve"> PAGEREF _Toc491868897 \h </w:instrText>
            </w:r>
            <w:r w:rsidR="00F51A0F">
              <w:rPr>
                <w:noProof/>
                <w:webHidden/>
              </w:rPr>
            </w:r>
            <w:r w:rsidR="00F51A0F">
              <w:rPr>
                <w:noProof/>
                <w:webHidden/>
              </w:rPr>
              <w:fldChar w:fldCharType="separate"/>
            </w:r>
            <w:r w:rsidR="00E32EE3">
              <w:rPr>
                <w:noProof/>
                <w:webHidden/>
              </w:rPr>
              <w:t>16</w:t>
            </w:r>
            <w:r w:rsidR="00F51A0F">
              <w:rPr>
                <w:noProof/>
                <w:webHidden/>
              </w:rPr>
              <w:fldChar w:fldCharType="end"/>
            </w:r>
          </w:hyperlink>
        </w:p>
        <w:p w14:paraId="08B1B513" w14:textId="77777777" w:rsidR="00F51A0F" w:rsidRDefault="00EE622A">
          <w:pPr>
            <w:pStyle w:val="TOC3"/>
            <w:rPr>
              <w:rFonts w:asciiTheme="minorHAnsi" w:eastAsiaTheme="minorEastAsia" w:hAnsiTheme="minorHAnsi" w:cstheme="minorBidi"/>
              <w:i w:val="0"/>
              <w:iCs w:val="0"/>
              <w:noProof/>
              <w:sz w:val="22"/>
              <w:szCs w:val="22"/>
              <w:lang w:eastAsia="en-GB"/>
            </w:rPr>
          </w:pPr>
          <w:hyperlink w:anchor="_Toc491868898" w:history="1">
            <w:r w:rsidR="00F51A0F" w:rsidRPr="00CB08D1">
              <w:rPr>
                <w:rStyle w:val="Hyperlink"/>
                <w:noProof/>
              </w:rPr>
              <w:t>3.2.1 Adsorption/desorption</w:t>
            </w:r>
            <w:r w:rsidR="00F51A0F">
              <w:rPr>
                <w:noProof/>
                <w:webHidden/>
              </w:rPr>
              <w:tab/>
            </w:r>
            <w:r w:rsidR="00F51A0F">
              <w:rPr>
                <w:noProof/>
                <w:webHidden/>
              </w:rPr>
              <w:fldChar w:fldCharType="begin"/>
            </w:r>
            <w:r w:rsidR="00F51A0F">
              <w:rPr>
                <w:noProof/>
                <w:webHidden/>
              </w:rPr>
              <w:instrText xml:space="preserve"> PAGEREF _Toc491868898 \h </w:instrText>
            </w:r>
            <w:r w:rsidR="00F51A0F">
              <w:rPr>
                <w:noProof/>
                <w:webHidden/>
              </w:rPr>
            </w:r>
            <w:r w:rsidR="00F51A0F">
              <w:rPr>
                <w:noProof/>
                <w:webHidden/>
              </w:rPr>
              <w:fldChar w:fldCharType="separate"/>
            </w:r>
            <w:r w:rsidR="00E32EE3">
              <w:rPr>
                <w:noProof/>
                <w:webHidden/>
              </w:rPr>
              <w:t>16</w:t>
            </w:r>
            <w:r w:rsidR="00F51A0F">
              <w:rPr>
                <w:noProof/>
                <w:webHidden/>
              </w:rPr>
              <w:fldChar w:fldCharType="end"/>
            </w:r>
          </w:hyperlink>
        </w:p>
        <w:p w14:paraId="247C4CA1" w14:textId="77777777" w:rsidR="00F51A0F" w:rsidRDefault="00EE622A">
          <w:pPr>
            <w:pStyle w:val="TOC3"/>
            <w:rPr>
              <w:rFonts w:asciiTheme="minorHAnsi" w:eastAsiaTheme="minorEastAsia" w:hAnsiTheme="minorHAnsi" w:cstheme="minorBidi"/>
              <w:i w:val="0"/>
              <w:iCs w:val="0"/>
              <w:noProof/>
              <w:sz w:val="22"/>
              <w:szCs w:val="22"/>
              <w:lang w:eastAsia="en-GB"/>
            </w:rPr>
          </w:pPr>
          <w:hyperlink w:anchor="_Toc491868899" w:history="1">
            <w:r w:rsidR="00F51A0F" w:rsidRPr="00CB08D1">
              <w:rPr>
                <w:rStyle w:val="Hyperlink"/>
                <w:noProof/>
              </w:rPr>
              <w:t>3.2.2 Volatilisation</w:t>
            </w:r>
            <w:r w:rsidR="00F51A0F">
              <w:rPr>
                <w:noProof/>
                <w:webHidden/>
              </w:rPr>
              <w:tab/>
            </w:r>
            <w:r w:rsidR="00F51A0F">
              <w:rPr>
                <w:noProof/>
                <w:webHidden/>
              </w:rPr>
              <w:fldChar w:fldCharType="begin"/>
            </w:r>
            <w:r w:rsidR="00F51A0F">
              <w:rPr>
                <w:noProof/>
                <w:webHidden/>
              </w:rPr>
              <w:instrText xml:space="preserve"> PAGEREF _Toc491868899 \h </w:instrText>
            </w:r>
            <w:r w:rsidR="00F51A0F">
              <w:rPr>
                <w:noProof/>
                <w:webHidden/>
              </w:rPr>
            </w:r>
            <w:r w:rsidR="00F51A0F">
              <w:rPr>
                <w:noProof/>
                <w:webHidden/>
              </w:rPr>
              <w:fldChar w:fldCharType="separate"/>
            </w:r>
            <w:r w:rsidR="00E32EE3">
              <w:rPr>
                <w:noProof/>
                <w:webHidden/>
              </w:rPr>
              <w:t>16</w:t>
            </w:r>
            <w:r w:rsidR="00F51A0F">
              <w:rPr>
                <w:noProof/>
                <w:webHidden/>
              </w:rPr>
              <w:fldChar w:fldCharType="end"/>
            </w:r>
          </w:hyperlink>
        </w:p>
        <w:p w14:paraId="4F949534" w14:textId="77777777" w:rsidR="00F51A0F" w:rsidRDefault="00EE622A">
          <w:pPr>
            <w:pStyle w:val="TOC3"/>
            <w:rPr>
              <w:rFonts w:asciiTheme="minorHAnsi" w:eastAsiaTheme="minorEastAsia" w:hAnsiTheme="minorHAnsi" w:cstheme="minorBidi"/>
              <w:i w:val="0"/>
              <w:iCs w:val="0"/>
              <w:noProof/>
              <w:sz w:val="22"/>
              <w:szCs w:val="22"/>
              <w:lang w:eastAsia="en-GB"/>
            </w:rPr>
          </w:pPr>
          <w:hyperlink w:anchor="_Toc491868900" w:history="1">
            <w:r w:rsidR="00F51A0F" w:rsidRPr="00CB08D1">
              <w:rPr>
                <w:rStyle w:val="Hyperlink"/>
                <w:noProof/>
              </w:rPr>
              <w:t>3.2.3 Distribution modelling</w:t>
            </w:r>
            <w:r w:rsidR="00F51A0F">
              <w:rPr>
                <w:noProof/>
                <w:webHidden/>
              </w:rPr>
              <w:tab/>
            </w:r>
            <w:r w:rsidR="00F51A0F">
              <w:rPr>
                <w:noProof/>
                <w:webHidden/>
              </w:rPr>
              <w:fldChar w:fldCharType="begin"/>
            </w:r>
            <w:r w:rsidR="00F51A0F">
              <w:rPr>
                <w:noProof/>
                <w:webHidden/>
              </w:rPr>
              <w:instrText xml:space="preserve"> PAGEREF _Toc491868900 \h </w:instrText>
            </w:r>
            <w:r w:rsidR="00F51A0F">
              <w:rPr>
                <w:noProof/>
                <w:webHidden/>
              </w:rPr>
            </w:r>
            <w:r w:rsidR="00F51A0F">
              <w:rPr>
                <w:noProof/>
                <w:webHidden/>
              </w:rPr>
              <w:fldChar w:fldCharType="separate"/>
            </w:r>
            <w:r w:rsidR="00E32EE3">
              <w:rPr>
                <w:noProof/>
                <w:webHidden/>
              </w:rPr>
              <w:t>16</w:t>
            </w:r>
            <w:r w:rsidR="00F51A0F">
              <w:rPr>
                <w:noProof/>
                <w:webHidden/>
              </w:rPr>
              <w:fldChar w:fldCharType="end"/>
            </w:r>
          </w:hyperlink>
        </w:p>
        <w:p w14:paraId="122CC821" w14:textId="77777777" w:rsidR="00F51A0F" w:rsidRDefault="00EE622A">
          <w:pPr>
            <w:pStyle w:val="TOC3"/>
            <w:rPr>
              <w:rFonts w:asciiTheme="minorHAnsi" w:eastAsiaTheme="minorEastAsia" w:hAnsiTheme="minorHAnsi" w:cstheme="minorBidi"/>
              <w:i w:val="0"/>
              <w:iCs w:val="0"/>
              <w:noProof/>
              <w:sz w:val="22"/>
              <w:szCs w:val="22"/>
              <w:lang w:eastAsia="en-GB"/>
            </w:rPr>
          </w:pPr>
          <w:hyperlink w:anchor="_Toc491868901" w:history="1">
            <w:r w:rsidR="00F51A0F" w:rsidRPr="00CB08D1">
              <w:rPr>
                <w:rStyle w:val="Hyperlink"/>
                <w:noProof/>
              </w:rPr>
              <w:t>3.2.4 Summary and discussion of environmental distribution</w:t>
            </w:r>
            <w:r w:rsidR="00F51A0F">
              <w:rPr>
                <w:noProof/>
                <w:webHidden/>
              </w:rPr>
              <w:tab/>
            </w:r>
            <w:r w:rsidR="00F51A0F">
              <w:rPr>
                <w:noProof/>
                <w:webHidden/>
              </w:rPr>
              <w:fldChar w:fldCharType="begin"/>
            </w:r>
            <w:r w:rsidR="00F51A0F">
              <w:rPr>
                <w:noProof/>
                <w:webHidden/>
              </w:rPr>
              <w:instrText xml:space="preserve"> PAGEREF _Toc491868901 \h </w:instrText>
            </w:r>
            <w:r w:rsidR="00F51A0F">
              <w:rPr>
                <w:noProof/>
                <w:webHidden/>
              </w:rPr>
            </w:r>
            <w:r w:rsidR="00F51A0F">
              <w:rPr>
                <w:noProof/>
                <w:webHidden/>
              </w:rPr>
              <w:fldChar w:fldCharType="separate"/>
            </w:r>
            <w:r w:rsidR="00E32EE3">
              <w:rPr>
                <w:noProof/>
                <w:webHidden/>
              </w:rPr>
              <w:t>16</w:t>
            </w:r>
            <w:r w:rsidR="00F51A0F">
              <w:rPr>
                <w:noProof/>
                <w:webHidden/>
              </w:rPr>
              <w:fldChar w:fldCharType="end"/>
            </w:r>
          </w:hyperlink>
        </w:p>
        <w:p w14:paraId="5B066477" w14:textId="77777777" w:rsidR="00F51A0F" w:rsidRDefault="00EE622A">
          <w:pPr>
            <w:pStyle w:val="TOC2"/>
            <w:rPr>
              <w:rFonts w:asciiTheme="minorHAnsi" w:eastAsiaTheme="minorEastAsia" w:hAnsiTheme="minorHAnsi" w:cstheme="minorBidi"/>
              <w:noProof/>
              <w:sz w:val="22"/>
              <w:szCs w:val="22"/>
              <w:lang w:eastAsia="en-GB"/>
            </w:rPr>
          </w:pPr>
          <w:hyperlink w:anchor="_Toc491868902" w:history="1">
            <w:r w:rsidR="00F51A0F" w:rsidRPr="00CB08D1">
              <w:rPr>
                <w:rStyle w:val="Hyperlink"/>
                <w:noProof/>
              </w:rPr>
              <w:t>3.3 Data indicating potential for long-range transport</w:t>
            </w:r>
            <w:r w:rsidR="00F51A0F">
              <w:rPr>
                <w:noProof/>
                <w:webHidden/>
              </w:rPr>
              <w:tab/>
            </w:r>
            <w:r w:rsidR="00F51A0F">
              <w:rPr>
                <w:noProof/>
                <w:webHidden/>
              </w:rPr>
              <w:fldChar w:fldCharType="begin"/>
            </w:r>
            <w:r w:rsidR="00F51A0F">
              <w:rPr>
                <w:noProof/>
                <w:webHidden/>
              </w:rPr>
              <w:instrText xml:space="preserve"> PAGEREF _Toc491868902 \h </w:instrText>
            </w:r>
            <w:r w:rsidR="00F51A0F">
              <w:rPr>
                <w:noProof/>
                <w:webHidden/>
              </w:rPr>
            </w:r>
            <w:r w:rsidR="00F51A0F">
              <w:rPr>
                <w:noProof/>
                <w:webHidden/>
              </w:rPr>
              <w:fldChar w:fldCharType="separate"/>
            </w:r>
            <w:r w:rsidR="00E32EE3">
              <w:rPr>
                <w:noProof/>
                <w:webHidden/>
              </w:rPr>
              <w:t>17</w:t>
            </w:r>
            <w:r w:rsidR="00F51A0F">
              <w:rPr>
                <w:noProof/>
                <w:webHidden/>
              </w:rPr>
              <w:fldChar w:fldCharType="end"/>
            </w:r>
          </w:hyperlink>
        </w:p>
        <w:p w14:paraId="1F491834" w14:textId="77777777" w:rsidR="00F51A0F" w:rsidRDefault="00EE622A">
          <w:pPr>
            <w:pStyle w:val="TOC2"/>
            <w:rPr>
              <w:rFonts w:asciiTheme="minorHAnsi" w:eastAsiaTheme="minorEastAsia" w:hAnsiTheme="minorHAnsi" w:cstheme="minorBidi"/>
              <w:noProof/>
              <w:sz w:val="22"/>
              <w:szCs w:val="22"/>
              <w:lang w:eastAsia="en-GB"/>
            </w:rPr>
          </w:pPr>
          <w:hyperlink w:anchor="_Toc491868903" w:history="1">
            <w:r w:rsidR="00F51A0F" w:rsidRPr="00CB08D1">
              <w:rPr>
                <w:rStyle w:val="Hyperlink"/>
                <w:noProof/>
              </w:rPr>
              <w:t>3.4 Bioaccumulation</w:t>
            </w:r>
            <w:r w:rsidR="00F51A0F">
              <w:rPr>
                <w:noProof/>
                <w:webHidden/>
              </w:rPr>
              <w:tab/>
            </w:r>
            <w:r w:rsidR="00F51A0F">
              <w:rPr>
                <w:noProof/>
                <w:webHidden/>
              </w:rPr>
              <w:fldChar w:fldCharType="begin"/>
            </w:r>
            <w:r w:rsidR="00F51A0F">
              <w:rPr>
                <w:noProof/>
                <w:webHidden/>
              </w:rPr>
              <w:instrText xml:space="preserve"> PAGEREF _Toc491868903 \h </w:instrText>
            </w:r>
            <w:r w:rsidR="00F51A0F">
              <w:rPr>
                <w:noProof/>
                <w:webHidden/>
              </w:rPr>
            </w:r>
            <w:r w:rsidR="00F51A0F">
              <w:rPr>
                <w:noProof/>
                <w:webHidden/>
              </w:rPr>
              <w:fldChar w:fldCharType="separate"/>
            </w:r>
            <w:r w:rsidR="00E32EE3">
              <w:rPr>
                <w:noProof/>
                <w:webHidden/>
              </w:rPr>
              <w:t>17</w:t>
            </w:r>
            <w:r w:rsidR="00F51A0F">
              <w:rPr>
                <w:noProof/>
                <w:webHidden/>
              </w:rPr>
              <w:fldChar w:fldCharType="end"/>
            </w:r>
          </w:hyperlink>
        </w:p>
        <w:p w14:paraId="523236BD" w14:textId="77777777" w:rsidR="00F51A0F" w:rsidRDefault="00EE622A">
          <w:pPr>
            <w:pStyle w:val="TOC3"/>
            <w:rPr>
              <w:rFonts w:asciiTheme="minorHAnsi" w:eastAsiaTheme="minorEastAsia" w:hAnsiTheme="minorHAnsi" w:cstheme="minorBidi"/>
              <w:i w:val="0"/>
              <w:iCs w:val="0"/>
              <w:noProof/>
              <w:sz w:val="22"/>
              <w:szCs w:val="22"/>
              <w:lang w:eastAsia="en-GB"/>
            </w:rPr>
          </w:pPr>
          <w:hyperlink w:anchor="_Toc491868904" w:history="1">
            <w:r w:rsidR="00F51A0F" w:rsidRPr="00CB08D1">
              <w:rPr>
                <w:rStyle w:val="Hyperlink"/>
                <w:noProof/>
              </w:rPr>
              <w:t>3.4.1 Bioaccumulation in aquatic organisms (pelagic &amp; sediment organisms)</w:t>
            </w:r>
            <w:r w:rsidR="00F51A0F">
              <w:rPr>
                <w:noProof/>
                <w:webHidden/>
              </w:rPr>
              <w:tab/>
            </w:r>
            <w:r w:rsidR="00F51A0F">
              <w:rPr>
                <w:noProof/>
                <w:webHidden/>
              </w:rPr>
              <w:fldChar w:fldCharType="begin"/>
            </w:r>
            <w:r w:rsidR="00F51A0F">
              <w:rPr>
                <w:noProof/>
                <w:webHidden/>
              </w:rPr>
              <w:instrText xml:space="preserve"> PAGEREF _Toc491868904 \h </w:instrText>
            </w:r>
            <w:r w:rsidR="00F51A0F">
              <w:rPr>
                <w:noProof/>
                <w:webHidden/>
              </w:rPr>
            </w:r>
            <w:r w:rsidR="00F51A0F">
              <w:rPr>
                <w:noProof/>
                <w:webHidden/>
              </w:rPr>
              <w:fldChar w:fldCharType="separate"/>
            </w:r>
            <w:r w:rsidR="00E32EE3">
              <w:rPr>
                <w:noProof/>
                <w:webHidden/>
              </w:rPr>
              <w:t>17</w:t>
            </w:r>
            <w:r w:rsidR="00F51A0F">
              <w:rPr>
                <w:noProof/>
                <w:webHidden/>
              </w:rPr>
              <w:fldChar w:fldCharType="end"/>
            </w:r>
          </w:hyperlink>
        </w:p>
        <w:p w14:paraId="6B6AE52C" w14:textId="77777777" w:rsidR="00F51A0F" w:rsidRDefault="00EE622A">
          <w:pPr>
            <w:pStyle w:val="TOC3"/>
            <w:rPr>
              <w:rFonts w:asciiTheme="minorHAnsi" w:eastAsiaTheme="minorEastAsia" w:hAnsiTheme="minorHAnsi" w:cstheme="minorBidi"/>
              <w:i w:val="0"/>
              <w:iCs w:val="0"/>
              <w:noProof/>
              <w:sz w:val="22"/>
              <w:szCs w:val="22"/>
              <w:lang w:eastAsia="en-GB"/>
            </w:rPr>
          </w:pPr>
          <w:hyperlink w:anchor="_Toc491868905" w:history="1">
            <w:r w:rsidR="00F51A0F" w:rsidRPr="00CB08D1">
              <w:rPr>
                <w:rStyle w:val="Hyperlink"/>
                <w:noProof/>
              </w:rPr>
              <w:t>3.4.2 Bioaccumulation in terrestrial organisms (soil dwelling organisms, vertebrates)</w:t>
            </w:r>
            <w:r w:rsidR="00F51A0F">
              <w:rPr>
                <w:noProof/>
                <w:webHidden/>
              </w:rPr>
              <w:tab/>
            </w:r>
            <w:r w:rsidR="00F51A0F">
              <w:rPr>
                <w:noProof/>
                <w:webHidden/>
              </w:rPr>
              <w:fldChar w:fldCharType="begin"/>
            </w:r>
            <w:r w:rsidR="00F51A0F">
              <w:rPr>
                <w:noProof/>
                <w:webHidden/>
              </w:rPr>
              <w:instrText xml:space="preserve"> PAGEREF _Toc491868905 \h </w:instrText>
            </w:r>
            <w:r w:rsidR="00F51A0F">
              <w:rPr>
                <w:noProof/>
                <w:webHidden/>
              </w:rPr>
            </w:r>
            <w:r w:rsidR="00F51A0F">
              <w:rPr>
                <w:noProof/>
                <w:webHidden/>
              </w:rPr>
              <w:fldChar w:fldCharType="separate"/>
            </w:r>
            <w:r w:rsidR="00E32EE3">
              <w:rPr>
                <w:noProof/>
                <w:webHidden/>
              </w:rPr>
              <w:t>17</w:t>
            </w:r>
            <w:r w:rsidR="00F51A0F">
              <w:rPr>
                <w:noProof/>
                <w:webHidden/>
              </w:rPr>
              <w:fldChar w:fldCharType="end"/>
            </w:r>
          </w:hyperlink>
        </w:p>
        <w:p w14:paraId="7EE6B421" w14:textId="77777777" w:rsidR="00F51A0F" w:rsidRDefault="00EE622A">
          <w:pPr>
            <w:pStyle w:val="TOC3"/>
            <w:rPr>
              <w:rFonts w:asciiTheme="minorHAnsi" w:eastAsiaTheme="minorEastAsia" w:hAnsiTheme="minorHAnsi" w:cstheme="minorBidi"/>
              <w:i w:val="0"/>
              <w:iCs w:val="0"/>
              <w:noProof/>
              <w:sz w:val="22"/>
              <w:szCs w:val="22"/>
              <w:lang w:eastAsia="en-GB"/>
            </w:rPr>
          </w:pPr>
          <w:hyperlink w:anchor="_Toc491868906" w:history="1">
            <w:r w:rsidR="00F51A0F" w:rsidRPr="00CB08D1">
              <w:rPr>
                <w:rStyle w:val="Hyperlink"/>
                <w:noProof/>
              </w:rPr>
              <w:t>3.4.3 Field data</w:t>
            </w:r>
            <w:r w:rsidR="00F51A0F">
              <w:rPr>
                <w:noProof/>
                <w:webHidden/>
              </w:rPr>
              <w:tab/>
            </w:r>
            <w:r w:rsidR="00F51A0F">
              <w:rPr>
                <w:noProof/>
                <w:webHidden/>
              </w:rPr>
              <w:fldChar w:fldCharType="begin"/>
            </w:r>
            <w:r w:rsidR="00F51A0F">
              <w:rPr>
                <w:noProof/>
                <w:webHidden/>
              </w:rPr>
              <w:instrText xml:space="preserve"> PAGEREF _Toc491868906 \h </w:instrText>
            </w:r>
            <w:r w:rsidR="00F51A0F">
              <w:rPr>
                <w:noProof/>
                <w:webHidden/>
              </w:rPr>
            </w:r>
            <w:r w:rsidR="00F51A0F">
              <w:rPr>
                <w:noProof/>
                <w:webHidden/>
              </w:rPr>
              <w:fldChar w:fldCharType="separate"/>
            </w:r>
            <w:r w:rsidR="00E32EE3">
              <w:rPr>
                <w:noProof/>
                <w:webHidden/>
              </w:rPr>
              <w:t>17</w:t>
            </w:r>
            <w:r w:rsidR="00F51A0F">
              <w:rPr>
                <w:noProof/>
                <w:webHidden/>
              </w:rPr>
              <w:fldChar w:fldCharType="end"/>
            </w:r>
          </w:hyperlink>
        </w:p>
        <w:p w14:paraId="73994C99" w14:textId="77777777" w:rsidR="00F51A0F" w:rsidRDefault="00EE622A">
          <w:pPr>
            <w:pStyle w:val="TOC3"/>
            <w:rPr>
              <w:rFonts w:asciiTheme="minorHAnsi" w:eastAsiaTheme="minorEastAsia" w:hAnsiTheme="minorHAnsi" w:cstheme="minorBidi"/>
              <w:i w:val="0"/>
              <w:iCs w:val="0"/>
              <w:noProof/>
              <w:sz w:val="22"/>
              <w:szCs w:val="22"/>
              <w:lang w:eastAsia="en-GB"/>
            </w:rPr>
          </w:pPr>
          <w:hyperlink w:anchor="_Toc491868907" w:history="1">
            <w:r w:rsidR="00F51A0F" w:rsidRPr="00CB08D1">
              <w:rPr>
                <w:rStyle w:val="Hyperlink"/>
                <w:noProof/>
              </w:rPr>
              <w:t>3.4.4 Summary and discussion of bioaccumulation</w:t>
            </w:r>
            <w:r w:rsidR="00F51A0F">
              <w:rPr>
                <w:noProof/>
                <w:webHidden/>
              </w:rPr>
              <w:tab/>
            </w:r>
            <w:r w:rsidR="00F51A0F">
              <w:rPr>
                <w:noProof/>
                <w:webHidden/>
              </w:rPr>
              <w:fldChar w:fldCharType="begin"/>
            </w:r>
            <w:r w:rsidR="00F51A0F">
              <w:rPr>
                <w:noProof/>
                <w:webHidden/>
              </w:rPr>
              <w:instrText xml:space="preserve"> PAGEREF _Toc491868907 \h </w:instrText>
            </w:r>
            <w:r w:rsidR="00F51A0F">
              <w:rPr>
                <w:noProof/>
                <w:webHidden/>
              </w:rPr>
            </w:r>
            <w:r w:rsidR="00F51A0F">
              <w:rPr>
                <w:noProof/>
                <w:webHidden/>
              </w:rPr>
              <w:fldChar w:fldCharType="separate"/>
            </w:r>
            <w:r w:rsidR="00E32EE3">
              <w:rPr>
                <w:noProof/>
                <w:webHidden/>
              </w:rPr>
              <w:t>18</w:t>
            </w:r>
            <w:r w:rsidR="00F51A0F">
              <w:rPr>
                <w:noProof/>
                <w:webHidden/>
              </w:rPr>
              <w:fldChar w:fldCharType="end"/>
            </w:r>
          </w:hyperlink>
        </w:p>
        <w:p w14:paraId="5B1C781A" w14:textId="77777777" w:rsidR="00F51A0F" w:rsidRDefault="00EE622A">
          <w:pPr>
            <w:pStyle w:val="TOC1"/>
            <w:rPr>
              <w:rFonts w:asciiTheme="minorHAnsi" w:eastAsiaTheme="minorEastAsia" w:hAnsiTheme="minorHAnsi" w:cstheme="minorBidi"/>
              <w:b w:val="0"/>
              <w:bCs w:val="0"/>
              <w:caps w:val="0"/>
              <w:noProof/>
              <w:sz w:val="22"/>
              <w:szCs w:val="22"/>
              <w:lang w:eastAsia="en-GB"/>
            </w:rPr>
          </w:pPr>
          <w:hyperlink w:anchor="_Toc491868908" w:history="1">
            <w:r w:rsidR="00F51A0F" w:rsidRPr="00CB08D1">
              <w:rPr>
                <w:rStyle w:val="Hyperlink"/>
                <w:noProof/>
              </w:rPr>
              <w:t>4. Human health hazard assessment</w:t>
            </w:r>
            <w:r w:rsidR="00F51A0F">
              <w:rPr>
                <w:noProof/>
                <w:webHidden/>
              </w:rPr>
              <w:tab/>
            </w:r>
            <w:r w:rsidR="00F51A0F">
              <w:rPr>
                <w:noProof/>
                <w:webHidden/>
              </w:rPr>
              <w:fldChar w:fldCharType="begin"/>
            </w:r>
            <w:r w:rsidR="00F51A0F">
              <w:rPr>
                <w:noProof/>
                <w:webHidden/>
              </w:rPr>
              <w:instrText xml:space="preserve"> PAGEREF _Toc491868908 \h </w:instrText>
            </w:r>
            <w:r w:rsidR="00F51A0F">
              <w:rPr>
                <w:noProof/>
                <w:webHidden/>
              </w:rPr>
            </w:r>
            <w:r w:rsidR="00F51A0F">
              <w:rPr>
                <w:noProof/>
                <w:webHidden/>
              </w:rPr>
              <w:fldChar w:fldCharType="separate"/>
            </w:r>
            <w:r w:rsidR="00E32EE3">
              <w:rPr>
                <w:noProof/>
                <w:webHidden/>
              </w:rPr>
              <w:t>18</w:t>
            </w:r>
            <w:r w:rsidR="00F51A0F">
              <w:rPr>
                <w:noProof/>
                <w:webHidden/>
              </w:rPr>
              <w:fldChar w:fldCharType="end"/>
            </w:r>
          </w:hyperlink>
        </w:p>
        <w:p w14:paraId="6E385449" w14:textId="77777777" w:rsidR="00F51A0F" w:rsidRDefault="00EE622A">
          <w:pPr>
            <w:pStyle w:val="TOC1"/>
            <w:rPr>
              <w:rFonts w:asciiTheme="minorHAnsi" w:eastAsiaTheme="minorEastAsia" w:hAnsiTheme="minorHAnsi" w:cstheme="minorBidi"/>
              <w:b w:val="0"/>
              <w:bCs w:val="0"/>
              <w:caps w:val="0"/>
              <w:noProof/>
              <w:sz w:val="22"/>
              <w:szCs w:val="22"/>
              <w:lang w:eastAsia="en-GB"/>
            </w:rPr>
          </w:pPr>
          <w:hyperlink w:anchor="_Toc491868909" w:history="1">
            <w:r w:rsidR="00F51A0F" w:rsidRPr="00CB08D1">
              <w:rPr>
                <w:rStyle w:val="Hyperlink"/>
                <w:noProof/>
              </w:rPr>
              <w:t>5. Environmental hazard assessment</w:t>
            </w:r>
            <w:r w:rsidR="00F51A0F">
              <w:rPr>
                <w:noProof/>
                <w:webHidden/>
              </w:rPr>
              <w:tab/>
            </w:r>
            <w:r w:rsidR="00F51A0F">
              <w:rPr>
                <w:noProof/>
                <w:webHidden/>
              </w:rPr>
              <w:fldChar w:fldCharType="begin"/>
            </w:r>
            <w:r w:rsidR="00F51A0F">
              <w:rPr>
                <w:noProof/>
                <w:webHidden/>
              </w:rPr>
              <w:instrText xml:space="preserve"> PAGEREF _Toc491868909 \h </w:instrText>
            </w:r>
            <w:r w:rsidR="00F51A0F">
              <w:rPr>
                <w:noProof/>
                <w:webHidden/>
              </w:rPr>
            </w:r>
            <w:r w:rsidR="00F51A0F">
              <w:rPr>
                <w:noProof/>
                <w:webHidden/>
              </w:rPr>
              <w:fldChar w:fldCharType="separate"/>
            </w:r>
            <w:r w:rsidR="00E32EE3">
              <w:rPr>
                <w:noProof/>
                <w:webHidden/>
              </w:rPr>
              <w:t>19</w:t>
            </w:r>
            <w:r w:rsidR="00F51A0F">
              <w:rPr>
                <w:noProof/>
                <w:webHidden/>
              </w:rPr>
              <w:fldChar w:fldCharType="end"/>
            </w:r>
          </w:hyperlink>
        </w:p>
        <w:p w14:paraId="0206625E" w14:textId="77777777" w:rsidR="00F51A0F" w:rsidRDefault="00EE622A">
          <w:pPr>
            <w:pStyle w:val="TOC2"/>
            <w:rPr>
              <w:rFonts w:asciiTheme="minorHAnsi" w:eastAsiaTheme="minorEastAsia" w:hAnsiTheme="minorHAnsi" w:cstheme="minorBidi"/>
              <w:noProof/>
              <w:sz w:val="22"/>
              <w:szCs w:val="22"/>
              <w:lang w:eastAsia="en-GB"/>
            </w:rPr>
          </w:pPr>
          <w:hyperlink w:anchor="_Toc491868910" w:history="1">
            <w:r w:rsidR="00F51A0F" w:rsidRPr="00CB08D1">
              <w:rPr>
                <w:rStyle w:val="Hyperlink"/>
                <w:noProof/>
              </w:rPr>
              <w:t>5.1 Aquatic compartment (including sediment)</w:t>
            </w:r>
            <w:r w:rsidR="00F51A0F">
              <w:rPr>
                <w:noProof/>
                <w:webHidden/>
              </w:rPr>
              <w:tab/>
            </w:r>
            <w:r w:rsidR="00F51A0F">
              <w:rPr>
                <w:noProof/>
                <w:webHidden/>
              </w:rPr>
              <w:fldChar w:fldCharType="begin"/>
            </w:r>
            <w:r w:rsidR="00F51A0F">
              <w:rPr>
                <w:noProof/>
                <w:webHidden/>
              </w:rPr>
              <w:instrText xml:space="preserve"> PAGEREF _Toc491868910 \h </w:instrText>
            </w:r>
            <w:r w:rsidR="00F51A0F">
              <w:rPr>
                <w:noProof/>
                <w:webHidden/>
              </w:rPr>
            </w:r>
            <w:r w:rsidR="00F51A0F">
              <w:rPr>
                <w:noProof/>
                <w:webHidden/>
              </w:rPr>
              <w:fldChar w:fldCharType="separate"/>
            </w:r>
            <w:r w:rsidR="00E32EE3">
              <w:rPr>
                <w:noProof/>
                <w:webHidden/>
              </w:rPr>
              <w:t>19</w:t>
            </w:r>
            <w:r w:rsidR="00F51A0F">
              <w:rPr>
                <w:noProof/>
                <w:webHidden/>
              </w:rPr>
              <w:fldChar w:fldCharType="end"/>
            </w:r>
          </w:hyperlink>
        </w:p>
        <w:p w14:paraId="49F86EB7" w14:textId="77777777" w:rsidR="00F51A0F" w:rsidRDefault="00EE622A">
          <w:pPr>
            <w:pStyle w:val="TOC3"/>
            <w:rPr>
              <w:rFonts w:asciiTheme="minorHAnsi" w:eastAsiaTheme="minorEastAsia" w:hAnsiTheme="minorHAnsi" w:cstheme="minorBidi"/>
              <w:i w:val="0"/>
              <w:iCs w:val="0"/>
              <w:noProof/>
              <w:sz w:val="22"/>
              <w:szCs w:val="22"/>
              <w:lang w:eastAsia="en-GB"/>
            </w:rPr>
          </w:pPr>
          <w:hyperlink w:anchor="_Toc491868911" w:history="1">
            <w:r w:rsidR="00F51A0F" w:rsidRPr="00CB08D1">
              <w:rPr>
                <w:rStyle w:val="Hyperlink"/>
                <w:noProof/>
              </w:rPr>
              <w:t>5.1.1 Fish</w:t>
            </w:r>
            <w:r w:rsidR="00F51A0F">
              <w:rPr>
                <w:noProof/>
                <w:webHidden/>
              </w:rPr>
              <w:tab/>
            </w:r>
            <w:r w:rsidR="00F51A0F">
              <w:rPr>
                <w:noProof/>
                <w:webHidden/>
              </w:rPr>
              <w:fldChar w:fldCharType="begin"/>
            </w:r>
            <w:r w:rsidR="00F51A0F">
              <w:rPr>
                <w:noProof/>
                <w:webHidden/>
              </w:rPr>
              <w:instrText xml:space="preserve"> PAGEREF _Toc491868911 \h </w:instrText>
            </w:r>
            <w:r w:rsidR="00F51A0F">
              <w:rPr>
                <w:noProof/>
                <w:webHidden/>
              </w:rPr>
            </w:r>
            <w:r w:rsidR="00F51A0F">
              <w:rPr>
                <w:noProof/>
                <w:webHidden/>
              </w:rPr>
              <w:fldChar w:fldCharType="separate"/>
            </w:r>
            <w:r w:rsidR="00E32EE3">
              <w:rPr>
                <w:noProof/>
                <w:webHidden/>
              </w:rPr>
              <w:t>19</w:t>
            </w:r>
            <w:r w:rsidR="00F51A0F">
              <w:rPr>
                <w:noProof/>
                <w:webHidden/>
              </w:rPr>
              <w:fldChar w:fldCharType="end"/>
            </w:r>
          </w:hyperlink>
        </w:p>
        <w:p w14:paraId="5ABC2FA8" w14:textId="77777777" w:rsidR="00F51A0F" w:rsidRDefault="00EE622A">
          <w:pPr>
            <w:pStyle w:val="TOC3"/>
            <w:rPr>
              <w:rFonts w:asciiTheme="minorHAnsi" w:eastAsiaTheme="minorEastAsia" w:hAnsiTheme="minorHAnsi" w:cstheme="minorBidi"/>
              <w:i w:val="0"/>
              <w:iCs w:val="0"/>
              <w:noProof/>
              <w:sz w:val="22"/>
              <w:szCs w:val="22"/>
              <w:lang w:eastAsia="en-GB"/>
            </w:rPr>
          </w:pPr>
          <w:hyperlink w:anchor="_Toc491868912" w:history="1">
            <w:r w:rsidR="00F51A0F" w:rsidRPr="00CB08D1">
              <w:rPr>
                <w:rStyle w:val="Hyperlink"/>
                <w:noProof/>
              </w:rPr>
              <w:t>5.1.2 Aquatic invertebrates</w:t>
            </w:r>
            <w:r w:rsidR="00F51A0F">
              <w:rPr>
                <w:noProof/>
                <w:webHidden/>
              </w:rPr>
              <w:tab/>
            </w:r>
            <w:r w:rsidR="00F51A0F">
              <w:rPr>
                <w:noProof/>
                <w:webHidden/>
              </w:rPr>
              <w:fldChar w:fldCharType="begin"/>
            </w:r>
            <w:r w:rsidR="00F51A0F">
              <w:rPr>
                <w:noProof/>
                <w:webHidden/>
              </w:rPr>
              <w:instrText xml:space="preserve"> PAGEREF _Toc491868912 \h </w:instrText>
            </w:r>
            <w:r w:rsidR="00F51A0F">
              <w:rPr>
                <w:noProof/>
                <w:webHidden/>
              </w:rPr>
            </w:r>
            <w:r w:rsidR="00F51A0F">
              <w:rPr>
                <w:noProof/>
                <w:webHidden/>
              </w:rPr>
              <w:fldChar w:fldCharType="separate"/>
            </w:r>
            <w:r w:rsidR="00E32EE3">
              <w:rPr>
                <w:noProof/>
                <w:webHidden/>
              </w:rPr>
              <w:t>20</w:t>
            </w:r>
            <w:r w:rsidR="00F51A0F">
              <w:rPr>
                <w:noProof/>
                <w:webHidden/>
              </w:rPr>
              <w:fldChar w:fldCharType="end"/>
            </w:r>
          </w:hyperlink>
        </w:p>
        <w:p w14:paraId="007D3453" w14:textId="77777777" w:rsidR="00F51A0F" w:rsidRDefault="00EE622A">
          <w:pPr>
            <w:pStyle w:val="TOC3"/>
            <w:rPr>
              <w:rFonts w:asciiTheme="minorHAnsi" w:eastAsiaTheme="minorEastAsia" w:hAnsiTheme="minorHAnsi" w:cstheme="minorBidi"/>
              <w:i w:val="0"/>
              <w:iCs w:val="0"/>
              <w:noProof/>
              <w:sz w:val="22"/>
              <w:szCs w:val="22"/>
              <w:lang w:eastAsia="en-GB"/>
            </w:rPr>
          </w:pPr>
          <w:hyperlink w:anchor="_Toc491868913" w:history="1">
            <w:r w:rsidR="00F51A0F" w:rsidRPr="00CB08D1">
              <w:rPr>
                <w:rStyle w:val="Hyperlink"/>
                <w:noProof/>
              </w:rPr>
              <w:t>5.1.3 Algae and aquatic plants</w:t>
            </w:r>
            <w:r w:rsidR="00F51A0F">
              <w:rPr>
                <w:noProof/>
                <w:webHidden/>
              </w:rPr>
              <w:tab/>
            </w:r>
            <w:r w:rsidR="00F51A0F">
              <w:rPr>
                <w:noProof/>
                <w:webHidden/>
              </w:rPr>
              <w:fldChar w:fldCharType="begin"/>
            </w:r>
            <w:r w:rsidR="00F51A0F">
              <w:rPr>
                <w:noProof/>
                <w:webHidden/>
              </w:rPr>
              <w:instrText xml:space="preserve"> PAGEREF _Toc491868913 \h </w:instrText>
            </w:r>
            <w:r w:rsidR="00F51A0F">
              <w:rPr>
                <w:noProof/>
                <w:webHidden/>
              </w:rPr>
            </w:r>
            <w:r w:rsidR="00F51A0F">
              <w:rPr>
                <w:noProof/>
                <w:webHidden/>
              </w:rPr>
              <w:fldChar w:fldCharType="separate"/>
            </w:r>
            <w:r w:rsidR="00E32EE3">
              <w:rPr>
                <w:noProof/>
                <w:webHidden/>
              </w:rPr>
              <w:t>20</w:t>
            </w:r>
            <w:r w:rsidR="00F51A0F">
              <w:rPr>
                <w:noProof/>
                <w:webHidden/>
              </w:rPr>
              <w:fldChar w:fldCharType="end"/>
            </w:r>
          </w:hyperlink>
        </w:p>
        <w:p w14:paraId="5E4D0408" w14:textId="77777777" w:rsidR="00F51A0F" w:rsidRDefault="00EE622A">
          <w:pPr>
            <w:pStyle w:val="TOC2"/>
            <w:rPr>
              <w:rFonts w:asciiTheme="minorHAnsi" w:eastAsiaTheme="minorEastAsia" w:hAnsiTheme="minorHAnsi" w:cstheme="minorBidi"/>
              <w:noProof/>
              <w:sz w:val="22"/>
              <w:szCs w:val="22"/>
              <w:lang w:eastAsia="en-GB"/>
            </w:rPr>
          </w:pPr>
          <w:hyperlink w:anchor="_Toc491868914" w:history="1">
            <w:r w:rsidR="00F51A0F" w:rsidRPr="00CB08D1">
              <w:rPr>
                <w:rStyle w:val="Hyperlink"/>
                <w:noProof/>
              </w:rPr>
              <w:t>5.6 Summary and discussion of the environmental hazard assessment</w:t>
            </w:r>
            <w:r w:rsidR="00F51A0F">
              <w:rPr>
                <w:noProof/>
                <w:webHidden/>
              </w:rPr>
              <w:tab/>
            </w:r>
            <w:r w:rsidR="00F51A0F">
              <w:rPr>
                <w:noProof/>
                <w:webHidden/>
              </w:rPr>
              <w:fldChar w:fldCharType="begin"/>
            </w:r>
            <w:r w:rsidR="00F51A0F">
              <w:rPr>
                <w:noProof/>
                <w:webHidden/>
              </w:rPr>
              <w:instrText xml:space="preserve"> PAGEREF _Toc491868914 \h </w:instrText>
            </w:r>
            <w:r w:rsidR="00F51A0F">
              <w:rPr>
                <w:noProof/>
                <w:webHidden/>
              </w:rPr>
            </w:r>
            <w:r w:rsidR="00F51A0F">
              <w:rPr>
                <w:noProof/>
                <w:webHidden/>
              </w:rPr>
              <w:fldChar w:fldCharType="separate"/>
            </w:r>
            <w:r w:rsidR="00E32EE3">
              <w:rPr>
                <w:noProof/>
                <w:webHidden/>
              </w:rPr>
              <w:t>20</w:t>
            </w:r>
            <w:r w:rsidR="00F51A0F">
              <w:rPr>
                <w:noProof/>
                <w:webHidden/>
              </w:rPr>
              <w:fldChar w:fldCharType="end"/>
            </w:r>
          </w:hyperlink>
        </w:p>
        <w:p w14:paraId="4BA0835E" w14:textId="77777777" w:rsidR="00F51A0F" w:rsidRDefault="00EE622A">
          <w:pPr>
            <w:pStyle w:val="TOC1"/>
            <w:rPr>
              <w:rFonts w:asciiTheme="minorHAnsi" w:eastAsiaTheme="minorEastAsia" w:hAnsiTheme="minorHAnsi" w:cstheme="minorBidi"/>
              <w:b w:val="0"/>
              <w:bCs w:val="0"/>
              <w:caps w:val="0"/>
              <w:noProof/>
              <w:sz w:val="22"/>
              <w:szCs w:val="22"/>
              <w:lang w:eastAsia="en-GB"/>
            </w:rPr>
          </w:pPr>
          <w:hyperlink w:anchor="_Toc491868915" w:history="1">
            <w:r w:rsidR="00F51A0F" w:rsidRPr="00CB08D1">
              <w:rPr>
                <w:rStyle w:val="Hyperlink"/>
                <w:noProof/>
              </w:rPr>
              <w:t>6. Conclusions on the SVHC Properties</w:t>
            </w:r>
            <w:r w:rsidR="00F51A0F">
              <w:rPr>
                <w:noProof/>
                <w:webHidden/>
              </w:rPr>
              <w:tab/>
            </w:r>
            <w:r w:rsidR="00F51A0F">
              <w:rPr>
                <w:noProof/>
                <w:webHidden/>
              </w:rPr>
              <w:fldChar w:fldCharType="begin"/>
            </w:r>
            <w:r w:rsidR="00F51A0F">
              <w:rPr>
                <w:noProof/>
                <w:webHidden/>
              </w:rPr>
              <w:instrText xml:space="preserve"> PAGEREF _Toc491868915 \h </w:instrText>
            </w:r>
            <w:r w:rsidR="00F51A0F">
              <w:rPr>
                <w:noProof/>
                <w:webHidden/>
              </w:rPr>
            </w:r>
            <w:r w:rsidR="00F51A0F">
              <w:rPr>
                <w:noProof/>
                <w:webHidden/>
              </w:rPr>
              <w:fldChar w:fldCharType="separate"/>
            </w:r>
            <w:r w:rsidR="00E32EE3">
              <w:rPr>
                <w:noProof/>
                <w:webHidden/>
              </w:rPr>
              <w:t>21</w:t>
            </w:r>
            <w:r w:rsidR="00F51A0F">
              <w:rPr>
                <w:noProof/>
                <w:webHidden/>
              </w:rPr>
              <w:fldChar w:fldCharType="end"/>
            </w:r>
          </w:hyperlink>
        </w:p>
        <w:p w14:paraId="67DC97FE" w14:textId="77777777" w:rsidR="00F51A0F" w:rsidRDefault="00EE622A">
          <w:pPr>
            <w:pStyle w:val="TOC2"/>
            <w:rPr>
              <w:rFonts w:asciiTheme="minorHAnsi" w:eastAsiaTheme="minorEastAsia" w:hAnsiTheme="minorHAnsi" w:cstheme="minorBidi"/>
              <w:noProof/>
              <w:sz w:val="22"/>
              <w:szCs w:val="22"/>
              <w:lang w:eastAsia="en-GB"/>
            </w:rPr>
          </w:pPr>
          <w:hyperlink w:anchor="_Toc491868916" w:history="1">
            <w:r w:rsidR="00F51A0F" w:rsidRPr="00CB08D1">
              <w:rPr>
                <w:rStyle w:val="Hyperlink"/>
                <w:noProof/>
              </w:rPr>
              <w:t>6.1 CMR assessment</w:t>
            </w:r>
            <w:r w:rsidR="00F51A0F">
              <w:rPr>
                <w:noProof/>
                <w:webHidden/>
              </w:rPr>
              <w:tab/>
            </w:r>
            <w:r w:rsidR="00F51A0F">
              <w:rPr>
                <w:noProof/>
                <w:webHidden/>
              </w:rPr>
              <w:fldChar w:fldCharType="begin"/>
            </w:r>
            <w:r w:rsidR="00F51A0F">
              <w:rPr>
                <w:noProof/>
                <w:webHidden/>
              </w:rPr>
              <w:instrText xml:space="preserve"> PAGEREF _Toc491868916 \h </w:instrText>
            </w:r>
            <w:r w:rsidR="00F51A0F">
              <w:rPr>
                <w:noProof/>
                <w:webHidden/>
              </w:rPr>
            </w:r>
            <w:r w:rsidR="00F51A0F">
              <w:rPr>
                <w:noProof/>
                <w:webHidden/>
              </w:rPr>
              <w:fldChar w:fldCharType="separate"/>
            </w:r>
            <w:r w:rsidR="00E32EE3">
              <w:rPr>
                <w:noProof/>
                <w:webHidden/>
              </w:rPr>
              <w:t>21</w:t>
            </w:r>
            <w:r w:rsidR="00F51A0F">
              <w:rPr>
                <w:noProof/>
                <w:webHidden/>
              </w:rPr>
              <w:fldChar w:fldCharType="end"/>
            </w:r>
          </w:hyperlink>
        </w:p>
        <w:p w14:paraId="14BFEC3A" w14:textId="77777777" w:rsidR="00F51A0F" w:rsidRDefault="00EE622A">
          <w:pPr>
            <w:pStyle w:val="TOC2"/>
            <w:rPr>
              <w:rFonts w:asciiTheme="minorHAnsi" w:eastAsiaTheme="minorEastAsia" w:hAnsiTheme="minorHAnsi" w:cstheme="minorBidi"/>
              <w:noProof/>
              <w:sz w:val="22"/>
              <w:szCs w:val="22"/>
              <w:lang w:eastAsia="en-GB"/>
            </w:rPr>
          </w:pPr>
          <w:hyperlink w:anchor="_Toc491868917" w:history="1">
            <w:r w:rsidR="00F51A0F" w:rsidRPr="00CB08D1">
              <w:rPr>
                <w:rStyle w:val="Hyperlink"/>
                <w:noProof/>
              </w:rPr>
              <w:t>6.2 PBT and vPvB assessment</w:t>
            </w:r>
            <w:r w:rsidR="00F51A0F">
              <w:rPr>
                <w:noProof/>
                <w:webHidden/>
              </w:rPr>
              <w:tab/>
            </w:r>
            <w:r w:rsidR="00F51A0F">
              <w:rPr>
                <w:noProof/>
                <w:webHidden/>
              </w:rPr>
              <w:fldChar w:fldCharType="begin"/>
            </w:r>
            <w:r w:rsidR="00F51A0F">
              <w:rPr>
                <w:noProof/>
                <w:webHidden/>
              </w:rPr>
              <w:instrText xml:space="preserve"> PAGEREF _Toc491868917 \h </w:instrText>
            </w:r>
            <w:r w:rsidR="00F51A0F">
              <w:rPr>
                <w:noProof/>
                <w:webHidden/>
              </w:rPr>
            </w:r>
            <w:r w:rsidR="00F51A0F">
              <w:rPr>
                <w:noProof/>
                <w:webHidden/>
              </w:rPr>
              <w:fldChar w:fldCharType="separate"/>
            </w:r>
            <w:r w:rsidR="00E32EE3">
              <w:rPr>
                <w:noProof/>
                <w:webHidden/>
              </w:rPr>
              <w:t>21</w:t>
            </w:r>
            <w:r w:rsidR="00F51A0F">
              <w:rPr>
                <w:noProof/>
                <w:webHidden/>
              </w:rPr>
              <w:fldChar w:fldCharType="end"/>
            </w:r>
          </w:hyperlink>
        </w:p>
        <w:p w14:paraId="21D637B3" w14:textId="77777777" w:rsidR="00F51A0F" w:rsidRDefault="00EE622A">
          <w:pPr>
            <w:pStyle w:val="TOC3"/>
            <w:rPr>
              <w:rFonts w:asciiTheme="minorHAnsi" w:eastAsiaTheme="minorEastAsia" w:hAnsiTheme="minorHAnsi" w:cstheme="minorBidi"/>
              <w:i w:val="0"/>
              <w:iCs w:val="0"/>
              <w:noProof/>
              <w:sz w:val="22"/>
              <w:szCs w:val="22"/>
              <w:lang w:eastAsia="en-GB"/>
            </w:rPr>
          </w:pPr>
          <w:hyperlink w:anchor="_Toc491868918" w:history="1">
            <w:r w:rsidR="00F51A0F" w:rsidRPr="00CB08D1">
              <w:rPr>
                <w:rStyle w:val="Hyperlink"/>
                <w:noProof/>
              </w:rPr>
              <w:t>6.2.1 Assessment of PBT/vPvB properties</w:t>
            </w:r>
            <w:r w:rsidR="00F51A0F">
              <w:rPr>
                <w:noProof/>
                <w:webHidden/>
              </w:rPr>
              <w:tab/>
            </w:r>
            <w:r w:rsidR="00F51A0F">
              <w:rPr>
                <w:noProof/>
                <w:webHidden/>
              </w:rPr>
              <w:fldChar w:fldCharType="begin"/>
            </w:r>
            <w:r w:rsidR="00F51A0F">
              <w:rPr>
                <w:noProof/>
                <w:webHidden/>
              </w:rPr>
              <w:instrText xml:space="preserve"> PAGEREF _Toc491868918 \h </w:instrText>
            </w:r>
            <w:r w:rsidR="00F51A0F">
              <w:rPr>
                <w:noProof/>
                <w:webHidden/>
              </w:rPr>
            </w:r>
            <w:r w:rsidR="00F51A0F">
              <w:rPr>
                <w:noProof/>
                <w:webHidden/>
              </w:rPr>
              <w:fldChar w:fldCharType="separate"/>
            </w:r>
            <w:r w:rsidR="00E32EE3">
              <w:rPr>
                <w:noProof/>
                <w:webHidden/>
              </w:rPr>
              <w:t>21</w:t>
            </w:r>
            <w:r w:rsidR="00F51A0F">
              <w:rPr>
                <w:noProof/>
                <w:webHidden/>
              </w:rPr>
              <w:fldChar w:fldCharType="end"/>
            </w:r>
          </w:hyperlink>
        </w:p>
        <w:p w14:paraId="3223A492" w14:textId="77777777" w:rsidR="00F51A0F" w:rsidRDefault="00EE622A">
          <w:pPr>
            <w:pStyle w:val="TOC3"/>
            <w:rPr>
              <w:rFonts w:asciiTheme="minorHAnsi" w:eastAsiaTheme="minorEastAsia" w:hAnsiTheme="minorHAnsi" w:cstheme="minorBidi"/>
              <w:i w:val="0"/>
              <w:iCs w:val="0"/>
              <w:noProof/>
              <w:sz w:val="22"/>
              <w:szCs w:val="22"/>
              <w:lang w:eastAsia="en-GB"/>
            </w:rPr>
          </w:pPr>
          <w:hyperlink w:anchor="_Toc491868919" w:history="1">
            <w:r w:rsidR="00F51A0F" w:rsidRPr="00CB08D1">
              <w:rPr>
                <w:rStyle w:val="Hyperlink"/>
                <w:noProof/>
              </w:rPr>
              <w:t>6.2.2 Summary and overall conclusions on the PBT and vPvB properties</w:t>
            </w:r>
            <w:r w:rsidR="00F51A0F">
              <w:rPr>
                <w:noProof/>
                <w:webHidden/>
              </w:rPr>
              <w:tab/>
            </w:r>
            <w:r w:rsidR="00F51A0F">
              <w:rPr>
                <w:noProof/>
                <w:webHidden/>
              </w:rPr>
              <w:fldChar w:fldCharType="begin"/>
            </w:r>
            <w:r w:rsidR="00F51A0F">
              <w:rPr>
                <w:noProof/>
                <w:webHidden/>
              </w:rPr>
              <w:instrText xml:space="preserve"> PAGEREF _Toc491868919 \h </w:instrText>
            </w:r>
            <w:r w:rsidR="00F51A0F">
              <w:rPr>
                <w:noProof/>
                <w:webHidden/>
              </w:rPr>
            </w:r>
            <w:r w:rsidR="00F51A0F">
              <w:rPr>
                <w:noProof/>
                <w:webHidden/>
              </w:rPr>
              <w:fldChar w:fldCharType="separate"/>
            </w:r>
            <w:r w:rsidR="00E32EE3">
              <w:rPr>
                <w:noProof/>
                <w:webHidden/>
              </w:rPr>
              <w:t>22</w:t>
            </w:r>
            <w:r w:rsidR="00F51A0F">
              <w:rPr>
                <w:noProof/>
                <w:webHidden/>
              </w:rPr>
              <w:fldChar w:fldCharType="end"/>
            </w:r>
          </w:hyperlink>
        </w:p>
        <w:p w14:paraId="1C6D4703" w14:textId="77777777" w:rsidR="00F51A0F" w:rsidRDefault="00EE622A">
          <w:pPr>
            <w:pStyle w:val="TOC1"/>
            <w:rPr>
              <w:rFonts w:asciiTheme="minorHAnsi" w:eastAsiaTheme="minorEastAsia" w:hAnsiTheme="minorHAnsi" w:cstheme="minorBidi"/>
              <w:b w:val="0"/>
              <w:bCs w:val="0"/>
              <w:caps w:val="0"/>
              <w:noProof/>
              <w:sz w:val="22"/>
              <w:szCs w:val="22"/>
              <w:lang w:eastAsia="en-GB"/>
            </w:rPr>
          </w:pPr>
          <w:hyperlink w:anchor="_Toc491868920" w:history="1">
            <w:r w:rsidR="00F51A0F" w:rsidRPr="00CB08D1">
              <w:rPr>
                <w:rStyle w:val="Hyperlink"/>
                <w:noProof/>
              </w:rPr>
              <w:t>Part II</w:t>
            </w:r>
            <w:r w:rsidR="00F51A0F">
              <w:rPr>
                <w:noProof/>
                <w:webHidden/>
              </w:rPr>
              <w:tab/>
            </w:r>
            <w:r w:rsidR="00F51A0F">
              <w:rPr>
                <w:noProof/>
                <w:webHidden/>
              </w:rPr>
              <w:fldChar w:fldCharType="begin"/>
            </w:r>
            <w:r w:rsidR="00F51A0F">
              <w:rPr>
                <w:noProof/>
                <w:webHidden/>
              </w:rPr>
              <w:instrText xml:space="preserve"> PAGEREF _Toc491868920 \h </w:instrText>
            </w:r>
            <w:r w:rsidR="00F51A0F">
              <w:rPr>
                <w:noProof/>
                <w:webHidden/>
              </w:rPr>
            </w:r>
            <w:r w:rsidR="00F51A0F">
              <w:rPr>
                <w:noProof/>
                <w:webHidden/>
              </w:rPr>
              <w:fldChar w:fldCharType="separate"/>
            </w:r>
            <w:r w:rsidR="00E32EE3">
              <w:rPr>
                <w:noProof/>
                <w:webHidden/>
              </w:rPr>
              <w:t>23</w:t>
            </w:r>
            <w:r w:rsidR="00F51A0F">
              <w:rPr>
                <w:noProof/>
                <w:webHidden/>
              </w:rPr>
              <w:fldChar w:fldCharType="end"/>
            </w:r>
          </w:hyperlink>
        </w:p>
        <w:p w14:paraId="274A0CFE" w14:textId="77777777" w:rsidR="00F51A0F" w:rsidRDefault="00EE622A">
          <w:pPr>
            <w:pStyle w:val="TOC1"/>
            <w:rPr>
              <w:rFonts w:asciiTheme="minorHAnsi" w:eastAsiaTheme="minorEastAsia" w:hAnsiTheme="minorHAnsi" w:cstheme="minorBidi"/>
              <w:b w:val="0"/>
              <w:bCs w:val="0"/>
              <w:caps w:val="0"/>
              <w:noProof/>
              <w:sz w:val="22"/>
              <w:szCs w:val="22"/>
              <w:lang w:eastAsia="en-GB"/>
            </w:rPr>
          </w:pPr>
          <w:hyperlink w:anchor="_Toc491868921" w:history="1">
            <w:r w:rsidR="00F51A0F" w:rsidRPr="00CB08D1">
              <w:rPr>
                <w:rStyle w:val="Hyperlink"/>
                <w:noProof/>
              </w:rPr>
              <w:t>7. Registration and C&amp;L notification status</w:t>
            </w:r>
            <w:r w:rsidR="00F51A0F">
              <w:rPr>
                <w:noProof/>
                <w:webHidden/>
              </w:rPr>
              <w:tab/>
            </w:r>
            <w:r w:rsidR="00F51A0F">
              <w:rPr>
                <w:noProof/>
                <w:webHidden/>
              </w:rPr>
              <w:fldChar w:fldCharType="begin"/>
            </w:r>
            <w:r w:rsidR="00F51A0F">
              <w:rPr>
                <w:noProof/>
                <w:webHidden/>
              </w:rPr>
              <w:instrText xml:space="preserve"> PAGEREF _Toc491868921 \h </w:instrText>
            </w:r>
            <w:r w:rsidR="00F51A0F">
              <w:rPr>
                <w:noProof/>
                <w:webHidden/>
              </w:rPr>
            </w:r>
            <w:r w:rsidR="00F51A0F">
              <w:rPr>
                <w:noProof/>
                <w:webHidden/>
              </w:rPr>
              <w:fldChar w:fldCharType="separate"/>
            </w:r>
            <w:r w:rsidR="00E32EE3">
              <w:rPr>
                <w:noProof/>
                <w:webHidden/>
              </w:rPr>
              <w:t>23</w:t>
            </w:r>
            <w:r w:rsidR="00F51A0F">
              <w:rPr>
                <w:noProof/>
                <w:webHidden/>
              </w:rPr>
              <w:fldChar w:fldCharType="end"/>
            </w:r>
          </w:hyperlink>
        </w:p>
        <w:p w14:paraId="5EE12A03" w14:textId="77777777" w:rsidR="00F51A0F" w:rsidRDefault="00EE622A">
          <w:pPr>
            <w:pStyle w:val="TOC2"/>
            <w:tabs>
              <w:tab w:val="left" w:pos="800"/>
            </w:tabs>
            <w:rPr>
              <w:rFonts w:asciiTheme="minorHAnsi" w:eastAsiaTheme="minorEastAsia" w:hAnsiTheme="minorHAnsi" w:cstheme="minorBidi"/>
              <w:noProof/>
              <w:sz w:val="22"/>
              <w:szCs w:val="22"/>
              <w:lang w:eastAsia="en-GB"/>
            </w:rPr>
          </w:pPr>
          <w:hyperlink w:anchor="_Toc491868922" w:history="1">
            <w:r w:rsidR="00F51A0F" w:rsidRPr="00CB08D1">
              <w:rPr>
                <w:rStyle w:val="Hyperlink"/>
                <w:rFonts w:cs="Times New Roman"/>
                <w:noProof/>
              </w:rPr>
              <w:t>7.1</w:t>
            </w:r>
            <w:r w:rsidR="00F51A0F">
              <w:rPr>
                <w:rFonts w:asciiTheme="minorHAnsi" w:eastAsiaTheme="minorEastAsia" w:hAnsiTheme="minorHAnsi" w:cstheme="minorBidi"/>
                <w:noProof/>
                <w:sz w:val="22"/>
                <w:szCs w:val="22"/>
                <w:lang w:eastAsia="en-GB"/>
              </w:rPr>
              <w:tab/>
            </w:r>
            <w:r w:rsidR="00F51A0F" w:rsidRPr="00CB08D1">
              <w:rPr>
                <w:rStyle w:val="Hyperlink"/>
                <w:noProof/>
              </w:rPr>
              <w:t>Registration status</w:t>
            </w:r>
            <w:r w:rsidR="00F51A0F">
              <w:rPr>
                <w:noProof/>
                <w:webHidden/>
              </w:rPr>
              <w:tab/>
            </w:r>
            <w:r w:rsidR="00F51A0F">
              <w:rPr>
                <w:noProof/>
                <w:webHidden/>
              </w:rPr>
              <w:fldChar w:fldCharType="begin"/>
            </w:r>
            <w:r w:rsidR="00F51A0F">
              <w:rPr>
                <w:noProof/>
                <w:webHidden/>
              </w:rPr>
              <w:instrText xml:space="preserve"> PAGEREF _Toc491868922 \h </w:instrText>
            </w:r>
            <w:r w:rsidR="00F51A0F">
              <w:rPr>
                <w:noProof/>
                <w:webHidden/>
              </w:rPr>
            </w:r>
            <w:r w:rsidR="00F51A0F">
              <w:rPr>
                <w:noProof/>
                <w:webHidden/>
              </w:rPr>
              <w:fldChar w:fldCharType="separate"/>
            </w:r>
            <w:r w:rsidR="00E32EE3">
              <w:rPr>
                <w:noProof/>
                <w:webHidden/>
              </w:rPr>
              <w:t>23</w:t>
            </w:r>
            <w:r w:rsidR="00F51A0F">
              <w:rPr>
                <w:noProof/>
                <w:webHidden/>
              </w:rPr>
              <w:fldChar w:fldCharType="end"/>
            </w:r>
          </w:hyperlink>
        </w:p>
        <w:p w14:paraId="7F15A8B3" w14:textId="77777777" w:rsidR="00F51A0F" w:rsidRDefault="00EE622A">
          <w:pPr>
            <w:pStyle w:val="TOC2"/>
            <w:rPr>
              <w:rFonts w:asciiTheme="minorHAnsi" w:eastAsiaTheme="minorEastAsia" w:hAnsiTheme="minorHAnsi" w:cstheme="minorBidi"/>
              <w:noProof/>
              <w:sz w:val="22"/>
              <w:szCs w:val="22"/>
              <w:lang w:eastAsia="en-GB"/>
            </w:rPr>
          </w:pPr>
          <w:hyperlink w:anchor="_Toc491868923" w:history="1">
            <w:r w:rsidR="00F51A0F" w:rsidRPr="00CB08D1">
              <w:rPr>
                <w:rStyle w:val="Hyperlink"/>
                <w:noProof/>
              </w:rPr>
              <w:t>7.2 CLP notification status</w:t>
            </w:r>
            <w:r w:rsidR="00F51A0F">
              <w:rPr>
                <w:noProof/>
                <w:webHidden/>
              </w:rPr>
              <w:tab/>
            </w:r>
            <w:r w:rsidR="00F51A0F">
              <w:rPr>
                <w:noProof/>
                <w:webHidden/>
              </w:rPr>
              <w:fldChar w:fldCharType="begin"/>
            </w:r>
            <w:r w:rsidR="00F51A0F">
              <w:rPr>
                <w:noProof/>
                <w:webHidden/>
              </w:rPr>
              <w:instrText xml:space="preserve"> PAGEREF _Toc491868923 \h </w:instrText>
            </w:r>
            <w:r w:rsidR="00F51A0F">
              <w:rPr>
                <w:noProof/>
                <w:webHidden/>
              </w:rPr>
            </w:r>
            <w:r w:rsidR="00F51A0F">
              <w:rPr>
                <w:noProof/>
                <w:webHidden/>
              </w:rPr>
              <w:fldChar w:fldCharType="separate"/>
            </w:r>
            <w:r w:rsidR="00E32EE3">
              <w:rPr>
                <w:noProof/>
                <w:webHidden/>
              </w:rPr>
              <w:t>23</w:t>
            </w:r>
            <w:r w:rsidR="00F51A0F">
              <w:rPr>
                <w:noProof/>
                <w:webHidden/>
              </w:rPr>
              <w:fldChar w:fldCharType="end"/>
            </w:r>
          </w:hyperlink>
        </w:p>
        <w:p w14:paraId="7CF5E5A4" w14:textId="77777777" w:rsidR="00F51A0F" w:rsidRDefault="00EE622A">
          <w:pPr>
            <w:pStyle w:val="TOC1"/>
            <w:rPr>
              <w:rFonts w:asciiTheme="minorHAnsi" w:eastAsiaTheme="minorEastAsia" w:hAnsiTheme="minorHAnsi" w:cstheme="minorBidi"/>
              <w:b w:val="0"/>
              <w:bCs w:val="0"/>
              <w:caps w:val="0"/>
              <w:noProof/>
              <w:sz w:val="22"/>
              <w:szCs w:val="22"/>
              <w:lang w:eastAsia="en-GB"/>
            </w:rPr>
          </w:pPr>
          <w:hyperlink w:anchor="_Toc491868924" w:history="1">
            <w:r w:rsidR="00F51A0F" w:rsidRPr="00CB08D1">
              <w:rPr>
                <w:rStyle w:val="Hyperlink"/>
                <w:noProof/>
              </w:rPr>
              <w:t>8. Total tonnage of the substance</w:t>
            </w:r>
            <w:r w:rsidR="00F51A0F">
              <w:rPr>
                <w:noProof/>
                <w:webHidden/>
              </w:rPr>
              <w:tab/>
            </w:r>
            <w:r w:rsidR="00F51A0F">
              <w:rPr>
                <w:noProof/>
                <w:webHidden/>
              </w:rPr>
              <w:fldChar w:fldCharType="begin"/>
            </w:r>
            <w:r w:rsidR="00F51A0F">
              <w:rPr>
                <w:noProof/>
                <w:webHidden/>
              </w:rPr>
              <w:instrText xml:space="preserve"> PAGEREF _Toc491868924 \h </w:instrText>
            </w:r>
            <w:r w:rsidR="00F51A0F">
              <w:rPr>
                <w:noProof/>
                <w:webHidden/>
              </w:rPr>
            </w:r>
            <w:r w:rsidR="00F51A0F">
              <w:rPr>
                <w:noProof/>
                <w:webHidden/>
              </w:rPr>
              <w:fldChar w:fldCharType="separate"/>
            </w:r>
            <w:r w:rsidR="00E32EE3">
              <w:rPr>
                <w:noProof/>
                <w:webHidden/>
              </w:rPr>
              <w:t>23</w:t>
            </w:r>
            <w:r w:rsidR="00F51A0F">
              <w:rPr>
                <w:noProof/>
                <w:webHidden/>
              </w:rPr>
              <w:fldChar w:fldCharType="end"/>
            </w:r>
          </w:hyperlink>
        </w:p>
        <w:p w14:paraId="0077C649" w14:textId="77777777" w:rsidR="00F51A0F" w:rsidRDefault="00EE622A">
          <w:pPr>
            <w:pStyle w:val="TOC1"/>
            <w:rPr>
              <w:rFonts w:asciiTheme="minorHAnsi" w:eastAsiaTheme="minorEastAsia" w:hAnsiTheme="minorHAnsi" w:cstheme="minorBidi"/>
              <w:b w:val="0"/>
              <w:bCs w:val="0"/>
              <w:caps w:val="0"/>
              <w:noProof/>
              <w:sz w:val="22"/>
              <w:szCs w:val="22"/>
              <w:lang w:eastAsia="en-GB"/>
            </w:rPr>
          </w:pPr>
          <w:hyperlink w:anchor="_Toc491868925" w:history="1">
            <w:r w:rsidR="00F51A0F" w:rsidRPr="00CB08D1">
              <w:rPr>
                <w:rStyle w:val="Hyperlink"/>
                <w:noProof/>
              </w:rPr>
              <w:t>9. Information on uses of the substance</w:t>
            </w:r>
            <w:r w:rsidR="00F51A0F">
              <w:rPr>
                <w:noProof/>
                <w:webHidden/>
              </w:rPr>
              <w:tab/>
            </w:r>
            <w:r w:rsidR="00F51A0F">
              <w:rPr>
                <w:noProof/>
                <w:webHidden/>
              </w:rPr>
              <w:fldChar w:fldCharType="begin"/>
            </w:r>
            <w:r w:rsidR="00F51A0F">
              <w:rPr>
                <w:noProof/>
                <w:webHidden/>
              </w:rPr>
              <w:instrText xml:space="preserve"> PAGEREF _Toc491868925 \h </w:instrText>
            </w:r>
            <w:r w:rsidR="00F51A0F">
              <w:rPr>
                <w:noProof/>
                <w:webHidden/>
              </w:rPr>
            </w:r>
            <w:r w:rsidR="00F51A0F">
              <w:rPr>
                <w:noProof/>
                <w:webHidden/>
              </w:rPr>
              <w:fldChar w:fldCharType="separate"/>
            </w:r>
            <w:r w:rsidR="00E32EE3">
              <w:rPr>
                <w:noProof/>
                <w:webHidden/>
              </w:rPr>
              <w:t>23</w:t>
            </w:r>
            <w:r w:rsidR="00F51A0F">
              <w:rPr>
                <w:noProof/>
                <w:webHidden/>
              </w:rPr>
              <w:fldChar w:fldCharType="end"/>
            </w:r>
          </w:hyperlink>
        </w:p>
        <w:p w14:paraId="0DFE7BD2" w14:textId="77777777" w:rsidR="00F51A0F" w:rsidRDefault="00EE622A">
          <w:pPr>
            <w:pStyle w:val="TOC1"/>
            <w:rPr>
              <w:rFonts w:asciiTheme="minorHAnsi" w:eastAsiaTheme="minorEastAsia" w:hAnsiTheme="minorHAnsi" w:cstheme="minorBidi"/>
              <w:b w:val="0"/>
              <w:bCs w:val="0"/>
              <w:caps w:val="0"/>
              <w:noProof/>
              <w:sz w:val="22"/>
              <w:szCs w:val="22"/>
              <w:lang w:eastAsia="en-GB"/>
            </w:rPr>
          </w:pPr>
          <w:hyperlink w:anchor="_Toc491868926" w:history="1">
            <w:r w:rsidR="00F51A0F" w:rsidRPr="00CB08D1">
              <w:rPr>
                <w:rStyle w:val="Hyperlink"/>
                <w:noProof/>
              </w:rPr>
              <w:t>10. Information on structure of the supply chain</w:t>
            </w:r>
            <w:r w:rsidR="00F51A0F">
              <w:rPr>
                <w:noProof/>
                <w:webHidden/>
              </w:rPr>
              <w:tab/>
            </w:r>
            <w:r w:rsidR="00F51A0F">
              <w:rPr>
                <w:noProof/>
                <w:webHidden/>
              </w:rPr>
              <w:fldChar w:fldCharType="begin"/>
            </w:r>
            <w:r w:rsidR="00F51A0F">
              <w:rPr>
                <w:noProof/>
                <w:webHidden/>
              </w:rPr>
              <w:instrText xml:space="preserve"> PAGEREF _Toc491868926 \h </w:instrText>
            </w:r>
            <w:r w:rsidR="00F51A0F">
              <w:rPr>
                <w:noProof/>
                <w:webHidden/>
              </w:rPr>
            </w:r>
            <w:r w:rsidR="00F51A0F">
              <w:rPr>
                <w:noProof/>
                <w:webHidden/>
              </w:rPr>
              <w:fldChar w:fldCharType="separate"/>
            </w:r>
            <w:r w:rsidR="00E32EE3">
              <w:rPr>
                <w:noProof/>
                <w:webHidden/>
              </w:rPr>
              <w:t>24</w:t>
            </w:r>
            <w:r w:rsidR="00F51A0F">
              <w:rPr>
                <w:noProof/>
                <w:webHidden/>
              </w:rPr>
              <w:fldChar w:fldCharType="end"/>
            </w:r>
          </w:hyperlink>
        </w:p>
        <w:p w14:paraId="76E0DB96" w14:textId="77777777" w:rsidR="00F51A0F" w:rsidRDefault="00EE622A">
          <w:pPr>
            <w:pStyle w:val="TOC1"/>
            <w:rPr>
              <w:rFonts w:asciiTheme="minorHAnsi" w:eastAsiaTheme="minorEastAsia" w:hAnsiTheme="minorHAnsi" w:cstheme="minorBidi"/>
              <w:b w:val="0"/>
              <w:bCs w:val="0"/>
              <w:caps w:val="0"/>
              <w:noProof/>
              <w:sz w:val="22"/>
              <w:szCs w:val="22"/>
              <w:lang w:eastAsia="en-GB"/>
            </w:rPr>
          </w:pPr>
          <w:hyperlink w:anchor="_Toc491868927" w:history="1">
            <w:r w:rsidR="00F51A0F" w:rsidRPr="00CB08D1">
              <w:rPr>
                <w:rStyle w:val="Hyperlink"/>
                <w:noProof/>
              </w:rPr>
              <w:t>11. Additional information</w:t>
            </w:r>
            <w:r w:rsidR="00F51A0F">
              <w:rPr>
                <w:noProof/>
                <w:webHidden/>
              </w:rPr>
              <w:tab/>
            </w:r>
            <w:r w:rsidR="00F51A0F">
              <w:rPr>
                <w:noProof/>
                <w:webHidden/>
              </w:rPr>
              <w:fldChar w:fldCharType="begin"/>
            </w:r>
            <w:r w:rsidR="00F51A0F">
              <w:rPr>
                <w:noProof/>
                <w:webHidden/>
              </w:rPr>
              <w:instrText xml:space="preserve"> PAGEREF _Toc491868927 \h </w:instrText>
            </w:r>
            <w:r w:rsidR="00F51A0F">
              <w:rPr>
                <w:noProof/>
                <w:webHidden/>
              </w:rPr>
            </w:r>
            <w:r w:rsidR="00F51A0F">
              <w:rPr>
                <w:noProof/>
                <w:webHidden/>
              </w:rPr>
              <w:fldChar w:fldCharType="separate"/>
            </w:r>
            <w:r w:rsidR="00E32EE3">
              <w:rPr>
                <w:noProof/>
                <w:webHidden/>
              </w:rPr>
              <w:t>24</w:t>
            </w:r>
            <w:r w:rsidR="00F51A0F">
              <w:rPr>
                <w:noProof/>
                <w:webHidden/>
              </w:rPr>
              <w:fldChar w:fldCharType="end"/>
            </w:r>
          </w:hyperlink>
        </w:p>
        <w:p w14:paraId="2B550CF5" w14:textId="77777777" w:rsidR="00F51A0F" w:rsidRDefault="00EE622A">
          <w:pPr>
            <w:pStyle w:val="TOC2"/>
            <w:rPr>
              <w:rFonts w:asciiTheme="minorHAnsi" w:eastAsiaTheme="minorEastAsia" w:hAnsiTheme="minorHAnsi" w:cstheme="minorBidi"/>
              <w:noProof/>
              <w:sz w:val="22"/>
              <w:szCs w:val="22"/>
              <w:lang w:eastAsia="en-GB"/>
            </w:rPr>
          </w:pPr>
          <w:hyperlink w:anchor="_Toc491868928" w:history="1">
            <w:r w:rsidR="00F51A0F" w:rsidRPr="00CB08D1">
              <w:rPr>
                <w:rStyle w:val="Hyperlink"/>
                <w:noProof/>
              </w:rPr>
              <w:t>11.2 Alternatives</w:t>
            </w:r>
            <w:r w:rsidR="00F51A0F">
              <w:rPr>
                <w:noProof/>
                <w:webHidden/>
              </w:rPr>
              <w:tab/>
            </w:r>
            <w:r w:rsidR="00F51A0F">
              <w:rPr>
                <w:noProof/>
                <w:webHidden/>
              </w:rPr>
              <w:fldChar w:fldCharType="begin"/>
            </w:r>
            <w:r w:rsidR="00F51A0F">
              <w:rPr>
                <w:noProof/>
                <w:webHidden/>
              </w:rPr>
              <w:instrText xml:space="preserve"> PAGEREF _Toc491868928 \h </w:instrText>
            </w:r>
            <w:r w:rsidR="00F51A0F">
              <w:rPr>
                <w:noProof/>
                <w:webHidden/>
              </w:rPr>
            </w:r>
            <w:r w:rsidR="00F51A0F">
              <w:rPr>
                <w:noProof/>
                <w:webHidden/>
              </w:rPr>
              <w:fldChar w:fldCharType="separate"/>
            </w:r>
            <w:r w:rsidR="00E32EE3">
              <w:rPr>
                <w:noProof/>
                <w:webHidden/>
              </w:rPr>
              <w:t>24</w:t>
            </w:r>
            <w:r w:rsidR="00F51A0F">
              <w:rPr>
                <w:noProof/>
                <w:webHidden/>
              </w:rPr>
              <w:fldChar w:fldCharType="end"/>
            </w:r>
          </w:hyperlink>
        </w:p>
        <w:p w14:paraId="78DECDD2" w14:textId="77777777" w:rsidR="00F51A0F" w:rsidRDefault="00EE622A">
          <w:pPr>
            <w:pStyle w:val="TOC2"/>
            <w:rPr>
              <w:rFonts w:asciiTheme="minorHAnsi" w:eastAsiaTheme="minorEastAsia" w:hAnsiTheme="minorHAnsi" w:cstheme="minorBidi"/>
              <w:noProof/>
              <w:sz w:val="22"/>
              <w:szCs w:val="22"/>
              <w:lang w:eastAsia="en-GB"/>
            </w:rPr>
          </w:pPr>
          <w:hyperlink w:anchor="_Toc491868929" w:history="1">
            <w:r w:rsidR="00F51A0F" w:rsidRPr="00CB08D1">
              <w:rPr>
                <w:rStyle w:val="Hyperlink"/>
                <w:noProof/>
              </w:rPr>
              <w:t>11.3 Existing EU legislation</w:t>
            </w:r>
            <w:r w:rsidR="00F51A0F">
              <w:rPr>
                <w:noProof/>
                <w:webHidden/>
              </w:rPr>
              <w:tab/>
            </w:r>
            <w:r w:rsidR="00F51A0F">
              <w:rPr>
                <w:noProof/>
                <w:webHidden/>
              </w:rPr>
              <w:fldChar w:fldCharType="begin"/>
            </w:r>
            <w:r w:rsidR="00F51A0F">
              <w:rPr>
                <w:noProof/>
                <w:webHidden/>
              </w:rPr>
              <w:instrText xml:space="preserve"> PAGEREF _Toc491868929 \h </w:instrText>
            </w:r>
            <w:r w:rsidR="00F51A0F">
              <w:rPr>
                <w:noProof/>
                <w:webHidden/>
              </w:rPr>
            </w:r>
            <w:r w:rsidR="00F51A0F">
              <w:rPr>
                <w:noProof/>
                <w:webHidden/>
              </w:rPr>
              <w:fldChar w:fldCharType="separate"/>
            </w:r>
            <w:r w:rsidR="00E32EE3">
              <w:rPr>
                <w:noProof/>
                <w:webHidden/>
              </w:rPr>
              <w:t>24</w:t>
            </w:r>
            <w:r w:rsidR="00F51A0F">
              <w:rPr>
                <w:noProof/>
                <w:webHidden/>
              </w:rPr>
              <w:fldChar w:fldCharType="end"/>
            </w:r>
          </w:hyperlink>
        </w:p>
        <w:p w14:paraId="168AE1AF" w14:textId="77777777" w:rsidR="00F51A0F" w:rsidRDefault="00EE622A">
          <w:pPr>
            <w:pStyle w:val="TOC2"/>
            <w:rPr>
              <w:rFonts w:asciiTheme="minorHAnsi" w:eastAsiaTheme="minorEastAsia" w:hAnsiTheme="minorHAnsi" w:cstheme="minorBidi"/>
              <w:noProof/>
              <w:sz w:val="22"/>
              <w:szCs w:val="22"/>
              <w:lang w:eastAsia="en-GB"/>
            </w:rPr>
          </w:pPr>
          <w:hyperlink w:anchor="_Toc491868930" w:history="1">
            <w:r w:rsidR="00F51A0F" w:rsidRPr="00CB08D1">
              <w:rPr>
                <w:rStyle w:val="Hyperlink"/>
                <w:noProof/>
              </w:rPr>
              <w:t>11.4 Previous assessments by other authorities</w:t>
            </w:r>
            <w:r w:rsidR="00F51A0F">
              <w:rPr>
                <w:noProof/>
                <w:webHidden/>
              </w:rPr>
              <w:tab/>
            </w:r>
            <w:r w:rsidR="00F51A0F">
              <w:rPr>
                <w:noProof/>
                <w:webHidden/>
              </w:rPr>
              <w:fldChar w:fldCharType="begin"/>
            </w:r>
            <w:r w:rsidR="00F51A0F">
              <w:rPr>
                <w:noProof/>
                <w:webHidden/>
              </w:rPr>
              <w:instrText xml:space="preserve"> PAGEREF _Toc491868930 \h </w:instrText>
            </w:r>
            <w:r w:rsidR="00F51A0F">
              <w:rPr>
                <w:noProof/>
                <w:webHidden/>
              </w:rPr>
            </w:r>
            <w:r w:rsidR="00F51A0F">
              <w:rPr>
                <w:noProof/>
                <w:webHidden/>
              </w:rPr>
              <w:fldChar w:fldCharType="separate"/>
            </w:r>
            <w:r w:rsidR="00E32EE3">
              <w:rPr>
                <w:noProof/>
                <w:webHidden/>
              </w:rPr>
              <w:t>25</w:t>
            </w:r>
            <w:r w:rsidR="00F51A0F">
              <w:rPr>
                <w:noProof/>
                <w:webHidden/>
              </w:rPr>
              <w:fldChar w:fldCharType="end"/>
            </w:r>
          </w:hyperlink>
        </w:p>
        <w:p w14:paraId="6900BBBB" w14:textId="77777777" w:rsidR="00F51A0F" w:rsidRDefault="00EE622A">
          <w:pPr>
            <w:pStyle w:val="TOC1"/>
            <w:rPr>
              <w:rFonts w:asciiTheme="minorHAnsi" w:eastAsiaTheme="minorEastAsia" w:hAnsiTheme="minorHAnsi" w:cstheme="minorBidi"/>
              <w:b w:val="0"/>
              <w:bCs w:val="0"/>
              <w:caps w:val="0"/>
              <w:noProof/>
              <w:sz w:val="22"/>
              <w:szCs w:val="22"/>
              <w:lang w:eastAsia="en-GB"/>
            </w:rPr>
          </w:pPr>
          <w:hyperlink w:anchor="_Toc491868931" w:history="1">
            <w:r w:rsidR="00F51A0F" w:rsidRPr="00CB08D1">
              <w:rPr>
                <w:rStyle w:val="Hyperlink"/>
                <w:noProof/>
              </w:rPr>
              <w:t>References for Part I</w:t>
            </w:r>
            <w:r w:rsidR="00F51A0F">
              <w:rPr>
                <w:noProof/>
                <w:webHidden/>
              </w:rPr>
              <w:tab/>
            </w:r>
            <w:r w:rsidR="00F51A0F">
              <w:rPr>
                <w:noProof/>
                <w:webHidden/>
              </w:rPr>
              <w:fldChar w:fldCharType="begin"/>
            </w:r>
            <w:r w:rsidR="00F51A0F">
              <w:rPr>
                <w:noProof/>
                <w:webHidden/>
              </w:rPr>
              <w:instrText xml:space="preserve"> PAGEREF _Toc491868931 \h </w:instrText>
            </w:r>
            <w:r w:rsidR="00F51A0F">
              <w:rPr>
                <w:noProof/>
                <w:webHidden/>
              </w:rPr>
            </w:r>
            <w:r w:rsidR="00F51A0F">
              <w:rPr>
                <w:noProof/>
                <w:webHidden/>
              </w:rPr>
              <w:fldChar w:fldCharType="separate"/>
            </w:r>
            <w:r w:rsidR="00E32EE3">
              <w:rPr>
                <w:noProof/>
                <w:webHidden/>
              </w:rPr>
              <w:t>26</w:t>
            </w:r>
            <w:r w:rsidR="00F51A0F">
              <w:rPr>
                <w:noProof/>
                <w:webHidden/>
              </w:rPr>
              <w:fldChar w:fldCharType="end"/>
            </w:r>
          </w:hyperlink>
        </w:p>
        <w:p w14:paraId="5C2EE7DF" w14:textId="77777777" w:rsidR="00F51A0F" w:rsidRDefault="00EE622A">
          <w:pPr>
            <w:pStyle w:val="TOC1"/>
            <w:rPr>
              <w:rFonts w:asciiTheme="minorHAnsi" w:eastAsiaTheme="minorEastAsia" w:hAnsiTheme="minorHAnsi" w:cstheme="minorBidi"/>
              <w:b w:val="0"/>
              <w:bCs w:val="0"/>
              <w:caps w:val="0"/>
              <w:noProof/>
              <w:sz w:val="22"/>
              <w:szCs w:val="22"/>
              <w:lang w:eastAsia="en-GB"/>
            </w:rPr>
          </w:pPr>
          <w:hyperlink w:anchor="_Toc491868932" w:history="1">
            <w:r w:rsidR="00F51A0F" w:rsidRPr="00CB08D1">
              <w:rPr>
                <w:rStyle w:val="Hyperlink"/>
                <w:noProof/>
              </w:rPr>
              <w:t>References for Part II</w:t>
            </w:r>
            <w:r w:rsidR="00F51A0F">
              <w:rPr>
                <w:noProof/>
                <w:webHidden/>
              </w:rPr>
              <w:tab/>
            </w:r>
            <w:r w:rsidR="00F51A0F">
              <w:rPr>
                <w:noProof/>
                <w:webHidden/>
              </w:rPr>
              <w:fldChar w:fldCharType="begin"/>
            </w:r>
            <w:r w:rsidR="00F51A0F">
              <w:rPr>
                <w:noProof/>
                <w:webHidden/>
              </w:rPr>
              <w:instrText xml:space="preserve"> PAGEREF _Toc491868932 \h </w:instrText>
            </w:r>
            <w:r w:rsidR="00F51A0F">
              <w:rPr>
                <w:noProof/>
                <w:webHidden/>
              </w:rPr>
            </w:r>
            <w:r w:rsidR="00F51A0F">
              <w:rPr>
                <w:noProof/>
                <w:webHidden/>
              </w:rPr>
              <w:fldChar w:fldCharType="separate"/>
            </w:r>
            <w:r w:rsidR="00E32EE3">
              <w:rPr>
                <w:noProof/>
                <w:webHidden/>
              </w:rPr>
              <w:t>27</w:t>
            </w:r>
            <w:r w:rsidR="00F51A0F">
              <w:rPr>
                <w:noProof/>
                <w:webHidden/>
              </w:rPr>
              <w:fldChar w:fldCharType="end"/>
            </w:r>
          </w:hyperlink>
        </w:p>
        <w:p w14:paraId="115C59E5" w14:textId="77777777" w:rsidR="004607CB" w:rsidRPr="004A7F1F" w:rsidRDefault="000721AD" w:rsidP="00DA14BD">
          <w:pPr>
            <w:jc w:val="both"/>
          </w:pPr>
          <w:r w:rsidRPr="00CB4EB5">
            <w:rPr>
              <w:b/>
              <w:bCs/>
              <w:noProof/>
            </w:rPr>
            <w:fldChar w:fldCharType="end"/>
          </w:r>
        </w:p>
      </w:sdtContent>
    </w:sdt>
    <w:p w14:paraId="115C59E6" w14:textId="77777777" w:rsidR="00701920" w:rsidRPr="00CB4EB5" w:rsidRDefault="00701920">
      <w:pPr>
        <w:pStyle w:val="TOC1"/>
      </w:pPr>
    </w:p>
    <w:p w14:paraId="115C59E7" w14:textId="77777777" w:rsidR="00DD36C7" w:rsidRPr="00CB4EB5" w:rsidRDefault="00DD36C7"/>
    <w:p w14:paraId="115C59E8" w14:textId="77777777" w:rsidR="00B12C39" w:rsidRPr="00CB4EB5" w:rsidRDefault="00B12C39" w:rsidP="00B12C39">
      <w:pPr>
        <w:rPr>
          <w:lang w:eastAsia="en-US"/>
        </w:rPr>
      </w:pPr>
      <w:r w:rsidRPr="00CB4EB5">
        <w:rPr>
          <w:lang w:eastAsia="en-US"/>
        </w:rPr>
        <w:br w:type="page"/>
      </w:r>
    </w:p>
    <w:p w14:paraId="115C59E9" w14:textId="77777777" w:rsidR="00B12C39" w:rsidRPr="00CB4EB5" w:rsidRDefault="00B12C39" w:rsidP="00B12C39">
      <w:pPr>
        <w:pStyle w:val="Titleintro"/>
      </w:pPr>
      <w:bookmarkStart w:id="1" w:name="_Toc316637272"/>
      <w:r w:rsidRPr="00CB4EB5">
        <w:lastRenderedPageBreak/>
        <w:t xml:space="preserve">TABLES </w:t>
      </w:r>
      <w:bookmarkEnd w:id="1"/>
    </w:p>
    <w:p w14:paraId="115C59EA" w14:textId="77777777" w:rsidR="00B12C39" w:rsidRPr="00CB4EB5" w:rsidRDefault="00B12C39" w:rsidP="00961C4C"/>
    <w:p w14:paraId="4C8485E4" w14:textId="77777777" w:rsidR="00E32EE3" w:rsidRPr="00E32EE3" w:rsidRDefault="000721AD">
      <w:pPr>
        <w:pStyle w:val="TableofFigures"/>
        <w:tabs>
          <w:tab w:val="right" w:leader="dot" w:pos="9017"/>
        </w:tabs>
        <w:rPr>
          <w:rFonts w:asciiTheme="minorHAnsi" w:eastAsiaTheme="minorEastAsia" w:hAnsiTheme="minorHAnsi" w:cstheme="minorBidi"/>
          <w:noProof/>
          <w:sz w:val="22"/>
          <w:szCs w:val="22"/>
          <w:lang w:eastAsia="en-GB"/>
        </w:rPr>
      </w:pPr>
      <w:r w:rsidRPr="00CE229E">
        <w:fldChar w:fldCharType="begin"/>
      </w:r>
      <w:r w:rsidR="003215DB" w:rsidRPr="00CE229E">
        <w:instrText xml:space="preserve"> TOC \h \z \c "Table" </w:instrText>
      </w:r>
      <w:r w:rsidRPr="00CE229E">
        <w:fldChar w:fldCharType="separate"/>
      </w:r>
      <w:hyperlink w:anchor="_Toc492027480" w:history="1">
        <w:r w:rsidR="00E32EE3" w:rsidRPr="00E32EE3">
          <w:rPr>
            <w:rStyle w:val="Hyperlink"/>
            <w:noProof/>
          </w:rPr>
          <w:t>Table 1: Substance identity</w:t>
        </w:r>
        <w:r w:rsidR="00E32EE3" w:rsidRPr="00E32EE3">
          <w:rPr>
            <w:noProof/>
            <w:webHidden/>
          </w:rPr>
          <w:tab/>
        </w:r>
        <w:r w:rsidR="00E32EE3" w:rsidRPr="00E32EE3">
          <w:rPr>
            <w:noProof/>
            <w:webHidden/>
          </w:rPr>
          <w:fldChar w:fldCharType="begin"/>
        </w:r>
        <w:r w:rsidR="00E32EE3" w:rsidRPr="00E32EE3">
          <w:rPr>
            <w:noProof/>
            <w:webHidden/>
          </w:rPr>
          <w:instrText xml:space="preserve"> PAGEREF _Toc492027480 \h </w:instrText>
        </w:r>
        <w:r w:rsidR="00E32EE3" w:rsidRPr="00E32EE3">
          <w:rPr>
            <w:noProof/>
            <w:webHidden/>
          </w:rPr>
        </w:r>
        <w:r w:rsidR="00E32EE3" w:rsidRPr="00E32EE3">
          <w:rPr>
            <w:noProof/>
            <w:webHidden/>
          </w:rPr>
          <w:fldChar w:fldCharType="separate"/>
        </w:r>
        <w:r w:rsidR="00E32EE3" w:rsidRPr="00E32EE3">
          <w:rPr>
            <w:noProof/>
            <w:webHidden/>
          </w:rPr>
          <w:t>8</w:t>
        </w:r>
        <w:r w:rsidR="00E32EE3" w:rsidRPr="00E32EE3">
          <w:rPr>
            <w:noProof/>
            <w:webHidden/>
          </w:rPr>
          <w:fldChar w:fldCharType="end"/>
        </w:r>
      </w:hyperlink>
    </w:p>
    <w:p w14:paraId="13114EB4" w14:textId="77777777" w:rsidR="00E32EE3" w:rsidRPr="00E32EE3" w:rsidRDefault="00E32EE3">
      <w:pPr>
        <w:pStyle w:val="TableofFigures"/>
        <w:tabs>
          <w:tab w:val="right" w:leader="dot" w:pos="9017"/>
        </w:tabs>
        <w:rPr>
          <w:rFonts w:asciiTheme="minorHAnsi" w:eastAsiaTheme="minorEastAsia" w:hAnsiTheme="minorHAnsi" w:cstheme="minorBidi"/>
          <w:noProof/>
          <w:sz w:val="22"/>
          <w:szCs w:val="22"/>
          <w:lang w:eastAsia="en-GB"/>
        </w:rPr>
      </w:pPr>
      <w:hyperlink w:anchor="_Toc492027481" w:history="1">
        <w:r w:rsidRPr="00E32EE3">
          <w:rPr>
            <w:rStyle w:val="Hyperlink"/>
            <w:noProof/>
          </w:rPr>
          <w:t>Table 2: Overview of physicochemical properties</w:t>
        </w:r>
        <w:r w:rsidRPr="00E32EE3">
          <w:rPr>
            <w:noProof/>
            <w:webHidden/>
          </w:rPr>
          <w:tab/>
        </w:r>
        <w:r w:rsidRPr="00E32EE3">
          <w:rPr>
            <w:noProof/>
            <w:webHidden/>
          </w:rPr>
          <w:fldChar w:fldCharType="begin"/>
        </w:r>
        <w:r w:rsidRPr="00E32EE3">
          <w:rPr>
            <w:noProof/>
            <w:webHidden/>
          </w:rPr>
          <w:instrText xml:space="preserve"> PAGEREF _Toc492027481 \h </w:instrText>
        </w:r>
        <w:r w:rsidRPr="00E32EE3">
          <w:rPr>
            <w:noProof/>
            <w:webHidden/>
          </w:rPr>
        </w:r>
        <w:r w:rsidRPr="00E32EE3">
          <w:rPr>
            <w:noProof/>
            <w:webHidden/>
          </w:rPr>
          <w:fldChar w:fldCharType="separate"/>
        </w:r>
        <w:r w:rsidRPr="00E32EE3">
          <w:rPr>
            <w:noProof/>
            <w:webHidden/>
          </w:rPr>
          <w:t>10</w:t>
        </w:r>
        <w:r w:rsidRPr="00E32EE3">
          <w:rPr>
            <w:noProof/>
            <w:webHidden/>
          </w:rPr>
          <w:fldChar w:fldCharType="end"/>
        </w:r>
      </w:hyperlink>
    </w:p>
    <w:p w14:paraId="1A04FED3" w14:textId="77777777" w:rsidR="00E32EE3" w:rsidRPr="00E32EE3" w:rsidRDefault="00E32EE3" w:rsidP="00E32EE3">
      <w:pPr>
        <w:pStyle w:val="TableofFigures"/>
        <w:tabs>
          <w:tab w:val="right" w:leader="dot" w:pos="9017"/>
        </w:tabs>
        <w:ind w:left="851" w:hanging="851"/>
        <w:rPr>
          <w:rFonts w:asciiTheme="minorHAnsi" w:eastAsiaTheme="minorEastAsia" w:hAnsiTheme="minorHAnsi" w:cstheme="minorBidi"/>
          <w:noProof/>
          <w:sz w:val="22"/>
          <w:szCs w:val="22"/>
          <w:lang w:eastAsia="en-GB"/>
        </w:rPr>
      </w:pPr>
      <w:hyperlink w:anchor="_Toc492027482" w:history="1">
        <w:r w:rsidRPr="00E32EE3">
          <w:rPr>
            <w:rStyle w:val="Hyperlink"/>
            <w:noProof/>
          </w:rPr>
          <w:t>Table 3: Classification according to Annex VI, Table 3.1 (list of harmonised classification and labelling of hazardous substances) of Regulation (EC) No 1272/2008</w:t>
        </w:r>
        <w:r w:rsidRPr="00E32EE3">
          <w:rPr>
            <w:noProof/>
            <w:webHidden/>
          </w:rPr>
          <w:tab/>
        </w:r>
        <w:r w:rsidRPr="00E32EE3">
          <w:rPr>
            <w:noProof/>
            <w:webHidden/>
          </w:rPr>
          <w:fldChar w:fldCharType="begin"/>
        </w:r>
        <w:r w:rsidRPr="00E32EE3">
          <w:rPr>
            <w:noProof/>
            <w:webHidden/>
          </w:rPr>
          <w:instrText xml:space="preserve"> PAGEREF _Toc492027482 \h </w:instrText>
        </w:r>
        <w:r w:rsidRPr="00E32EE3">
          <w:rPr>
            <w:noProof/>
            <w:webHidden/>
          </w:rPr>
        </w:r>
        <w:r w:rsidRPr="00E32EE3">
          <w:rPr>
            <w:noProof/>
            <w:webHidden/>
          </w:rPr>
          <w:fldChar w:fldCharType="separate"/>
        </w:r>
        <w:r w:rsidRPr="00E32EE3">
          <w:rPr>
            <w:noProof/>
            <w:webHidden/>
          </w:rPr>
          <w:t>11</w:t>
        </w:r>
        <w:r w:rsidRPr="00E32EE3">
          <w:rPr>
            <w:noProof/>
            <w:webHidden/>
          </w:rPr>
          <w:fldChar w:fldCharType="end"/>
        </w:r>
      </w:hyperlink>
    </w:p>
    <w:p w14:paraId="4CB0974E" w14:textId="77777777" w:rsidR="00E32EE3" w:rsidRDefault="00E32EE3">
      <w:pPr>
        <w:pStyle w:val="TableofFigures"/>
        <w:tabs>
          <w:tab w:val="right" w:leader="dot" w:pos="9017"/>
        </w:tabs>
        <w:rPr>
          <w:rFonts w:asciiTheme="minorHAnsi" w:eastAsiaTheme="minorEastAsia" w:hAnsiTheme="minorHAnsi" w:cstheme="minorBidi"/>
          <w:noProof/>
          <w:sz w:val="22"/>
          <w:szCs w:val="22"/>
          <w:lang w:eastAsia="en-GB"/>
        </w:rPr>
      </w:pPr>
      <w:hyperlink w:anchor="_Toc492027483" w:history="1">
        <w:r w:rsidRPr="006E11FD">
          <w:rPr>
            <w:rStyle w:val="Hyperlink"/>
            <w:noProof/>
          </w:rPr>
          <w:t>Table 4: Fugacity Model calculation (EPI Suite, version 4.11) of CHR</w:t>
        </w:r>
        <w:r>
          <w:rPr>
            <w:noProof/>
            <w:webHidden/>
          </w:rPr>
          <w:tab/>
        </w:r>
        <w:r>
          <w:rPr>
            <w:noProof/>
            <w:webHidden/>
          </w:rPr>
          <w:fldChar w:fldCharType="begin"/>
        </w:r>
        <w:r>
          <w:rPr>
            <w:noProof/>
            <w:webHidden/>
          </w:rPr>
          <w:instrText xml:space="preserve"> PAGEREF _Toc492027483 \h </w:instrText>
        </w:r>
        <w:r>
          <w:rPr>
            <w:noProof/>
            <w:webHidden/>
          </w:rPr>
        </w:r>
        <w:r>
          <w:rPr>
            <w:noProof/>
            <w:webHidden/>
          </w:rPr>
          <w:fldChar w:fldCharType="separate"/>
        </w:r>
        <w:r>
          <w:rPr>
            <w:noProof/>
            <w:webHidden/>
          </w:rPr>
          <w:t>16</w:t>
        </w:r>
        <w:r>
          <w:rPr>
            <w:noProof/>
            <w:webHidden/>
          </w:rPr>
          <w:fldChar w:fldCharType="end"/>
        </w:r>
      </w:hyperlink>
    </w:p>
    <w:p w14:paraId="2DA95D16" w14:textId="77777777" w:rsidR="00E32EE3" w:rsidRDefault="00E32EE3">
      <w:pPr>
        <w:pStyle w:val="TableofFigures"/>
        <w:tabs>
          <w:tab w:val="right" w:leader="dot" w:pos="9017"/>
        </w:tabs>
        <w:rPr>
          <w:rFonts w:asciiTheme="minorHAnsi" w:eastAsiaTheme="minorEastAsia" w:hAnsiTheme="minorHAnsi" w:cstheme="minorBidi"/>
          <w:noProof/>
          <w:sz w:val="22"/>
          <w:szCs w:val="22"/>
          <w:lang w:eastAsia="en-GB"/>
        </w:rPr>
      </w:pPr>
      <w:hyperlink w:anchor="_Toc492027484" w:history="1">
        <w:r w:rsidRPr="006E11FD">
          <w:rPr>
            <w:rStyle w:val="Hyperlink"/>
            <w:noProof/>
          </w:rPr>
          <w:t>Table 5: CLP notifications</w:t>
        </w:r>
        <w:r>
          <w:rPr>
            <w:noProof/>
            <w:webHidden/>
          </w:rPr>
          <w:tab/>
        </w:r>
        <w:r>
          <w:rPr>
            <w:noProof/>
            <w:webHidden/>
          </w:rPr>
          <w:fldChar w:fldCharType="begin"/>
        </w:r>
        <w:r>
          <w:rPr>
            <w:noProof/>
            <w:webHidden/>
          </w:rPr>
          <w:instrText xml:space="preserve"> PAGEREF _Toc492027484 \h </w:instrText>
        </w:r>
        <w:r>
          <w:rPr>
            <w:noProof/>
            <w:webHidden/>
          </w:rPr>
        </w:r>
        <w:r>
          <w:rPr>
            <w:noProof/>
            <w:webHidden/>
          </w:rPr>
          <w:fldChar w:fldCharType="separate"/>
        </w:r>
        <w:r>
          <w:rPr>
            <w:noProof/>
            <w:webHidden/>
          </w:rPr>
          <w:t>23</w:t>
        </w:r>
        <w:r>
          <w:rPr>
            <w:noProof/>
            <w:webHidden/>
          </w:rPr>
          <w:fldChar w:fldCharType="end"/>
        </w:r>
      </w:hyperlink>
    </w:p>
    <w:p w14:paraId="115C59FA" w14:textId="77777777" w:rsidR="009E3EE0" w:rsidRPr="00CB4EB5" w:rsidRDefault="000721AD" w:rsidP="003215DB">
      <w:pPr>
        <w:pStyle w:val="Caption"/>
      </w:pPr>
      <w:r w:rsidRPr="00CE229E">
        <w:rPr>
          <w:sz w:val="20"/>
          <w:szCs w:val="20"/>
          <w:lang w:eastAsia="fi-FI"/>
        </w:rPr>
        <w:fldChar w:fldCharType="end"/>
      </w:r>
    </w:p>
    <w:p w14:paraId="115C59FB" w14:textId="77777777" w:rsidR="009E3EE0" w:rsidRPr="00CB4EB5" w:rsidRDefault="009E3EE0" w:rsidP="00B12C39">
      <w:pPr>
        <w:pStyle w:val="BodyText"/>
      </w:pPr>
      <w:bookmarkStart w:id="2" w:name="_GoBack"/>
      <w:bookmarkEnd w:id="2"/>
    </w:p>
    <w:p w14:paraId="407DB775" w14:textId="77777777" w:rsidR="005A324F" w:rsidRPr="00CB4EB5" w:rsidRDefault="00B12C39" w:rsidP="00DD36C7">
      <w:pPr>
        <w:pStyle w:val="Title"/>
        <w:numPr>
          <w:ilvl w:val="0"/>
          <w:numId w:val="0"/>
        </w:numPr>
        <w:jc w:val="center"/>
      </w:pPr>
      <w:r w:rsidRPr="00CB4EB5">
        <w:br w:type="page"/>
      </w:r>
      <w:bookmarkStart w:id="3" w:name="_MailAutoSig"/>
      <w:bookmarkStart w:id="4" w:name="_Toc357185225"/>
      <w:bookmarkStart w:id="5" w:name="_Toc357186073"/>
      <w:bookmarkStart w:id="6" w:name="_Toc357186222"/>
      <w:bookmarkStart w:id="7" w:name="_Toc357437508"/>
      <w:bookmarkStart w:id="8" w:name="_Toc357590781"/>
      <w:bookmarkStart w:id="9" w:name="_Toc357692813"/>
      <w:bookmarkStart w:id="10" w:name="_Toc365649640"/>
      <w:bookmarkStart w:id="11" w:name="_Toc365649789"/>
      <w:bookmarkStart w:id="12" w:name="_Toc366489841"/>
      <w:bookmarkStart w:id="13" w:name="_Toc418498546"/>
      <w:bookmarkStart w:id="14" w:name="_Toc418505989"/>
    </w:p>
    <w:p w14:paraId="722EF9C5" w14:textId="39C2909A" w:rsidR="005A324F" w:rsidRPr="00CB4EB5" w:rsidRDefault="005A324F" w:rsidP="00DD36C7">
      <w:pPr>
        <w:pStyle w:val="Title"/>
        <w:numPr>
          <w:ilvl w:val="0"/>
          <w:numId w:val="0"/>
        </w:numPr>
        <w:jc w:val="center"/>
        <w:rPr>
          <w:sz w:val="32"/>
        </w:rPr>
      </w:pPr>
      <w:bookmarkStart w:id="15" w:name="_Toc491868883"/>
      <w:r w:rsidRPr="00CB4EB5">
        <w:rPr>
          <w:sz w:val="32"/>
        </w:rPr>
        <w:lastRenderedPageBreak/>
        <w:t>FOR</w:t>
      </w:r>
      <w:r w:rsidR="00E877F5" w:rsidRPr="00CB4EB5">
        <w:rPr>
          <w:sz w:val="32"/>
        </w:rPr>
        <w:t>E</w:t>
      </w:r>
      <w:r w:rsidRPr="00CB4EB5">
        <w:rPr>
          <w:sz w:val="32"/>
        </w:rPr>
        <w:t>WORD</w:t>
      </w:r>
      <w:bookmarkEnd w:id="15"/>
    </w:p>
    <w:p w14:paraId="7A868048" w14:textId="2E6E834C" w:rsidR="005A324F" w:rsidRPr="00CB4EB5" w:rsidRDefault="005A324F" w:rsidP="005A324F">
      <w:pPr>
        <w:jc w:val="both"/>
      </w:pPr>
      <w:r w:rsidRPr="00CB4EB5">
        <w:t xml:space="preserve">Chrysene (CHR) belongs to the substance group of Polycyclic Aromatic Hydrocarbons (PAHs) </w:t>
      </w:r>
      <w:r w:rsidR="00E8052C" w:rsidRPr="00CB4EB5">
        <w:t xml:space="preserve">of </w:t>
      </w:r>
      <w:r w:rsidRPr="00CB4EB5">
        <w:t xml:space="preserve">which </w:t>
      </w:r>
      <w:r w:rsidR="00E8052C" w:rsidRPr="00CB4EB5">
        <w:t xml:space="preserve">many </w:t>
      </w:r>
      <w:r w:rsidRPr="00CB4EB5">
        <w:t>are well-known to be hazardous for human health and the environment. Eight PAHs, including CHR, have a harmonised classification as carcinogenic, mutagenic, and</w:t>
      </w:r>
      <w:r w:rsidR="00372C98" w:rsidRPr="00CB4EB5">
        <w:t>/or</w:t>
      </w:r>
      <w:r w:rsidRPr="00CB4EB5">
        <w:t xml:space="preserve"> </w:t>
      </w:r>
      <w:proofErr w:type="spellStart"/>
      <w:r w:rsidRPr="00CB4EB5">
        <w:t>reprotoxic</w:t>
      </w:r>
      <w:proofErr w:type="spellEnd"/>
      <w:r w:rsidRPr="00CB4EB5">
        <w:t xml:space="preserve"> in the categories 1A, 1B, or 2 according to the CLP Regulation (EC 1272/2008).</w:t>
      </w:r>
    </w:p>
    <w:p w14:paraId="14F434C8" w14:textId="3AB67931" w:rsidR="005A324F" w:rsidRPr="00212DCD" w:rsidRDefault="005A324F" w:rsidP="005A324F">
      <w:pPr>
        <w:jc w:val="both"/>
      </w:pPr>
      <w:r w:rsidRPr="00CB4EB5">
        <w:t xml:space="preserve">Until now, several Annex XV dossiers for the identification of substances of very high concern (SVHC) were explicitly based on the properties of PAHs as constituents of concern in the identified substances, such as Anthracene, Anthracene Oils, </w:t>
      </w:r>
      <w:proofErr w:type="gramStart"/>
      <w:r w:rsidRPr="00CB4EB5">
        <w:t>Coal</w:t>
      </w:r>
      <w:proofErr w:type="gramEnd"/>
      <w:r w:rsidRPr="00CB4EB5">
        <w:t xml:space="preserve"> Tar Pitch High Temperature</w:t>
      </w:r>
      <w:r w:rsidR="00B34F13" w:rsidRPr="00CB4EB5">
        <w:t xml:space="preserve"> (CTPHT)</w:t>
      </w:r>
      <w:r w:rsidRPr="00212DCD">
        <w:t>.</w:t>
      </w:r>
    </w:p>
    <w:p w14:paraId="7799A269" w14:textId="77777777" w:rsidR="005A324F" w:rsidRPr="006D360C" w:rsidRDefault="005A324F" w:rsidP="005A324F">
      <w:pPr>
        <w:jc w:val="both"/>
      </w:pPr>
    </w:p>
    <w:p w14:paraId="2D8FCD7B" w14:textId="2BBA87F3" w:rsidR="005A324F" w:rsidRPr="00CB4EB5" w:rsidRDefault="004F183B" w:rsidP="00EE622A">
      <w:pPr>
        <w:widowControl/>
        <w:autoSpaceDE w:val="0"/>
        <w:autoSpaceDN w:val="0"/>
        <w:adjustRightInd w:val="0"/>
        <w:jc w:val="both"/>
      </w:pPr>
      <w:r w:rsidRPr="006D360C">
        <w:t xml:space="preserve">CHR is </w:t>
      </w:r>
      <w:r w:rsidRPr="001A0B5A">
        <w:t>constituent</w:t>
      </w:r>
      <w:r w:rsidR="00B34F13" w:rsidRPr="004A7F1F">
        <w:t>,</w:t>
      </w:r>
      <w:r w:rsidRPr="004A7F1F">
        <w:t xml:space="preserve"> </w:t>
      </w:r>
      <w:r w:rsidR="00B34F13" w:rsidRPr="004A7F1F">
        <w:t>inter alia, in</w:t>
      </w:r>
      <w:r w:rsidRPr="004A7F1F">
        <w:t xml:space="preserve"> CTPHT.</w:t>
      </w:r>
      <w:r w:rsidR="00C32F03" w:rsidRPr="003E39C1">
        <w:rPr>
          <w:rFonts w:cs="Verdana"/>
          <w:lang w:eastAsia="en-GB"/>
        </w:rPr>
        <w:t xml:space="preserve"> In the Support Document of Pitch, coal tar, high </w:t>
      </w:r>
      <w:r w:rsidR="00C32F03" w:rsidRPr="00212DCD">
        <w:rPr>
          <w:rFonts w:cs="Verdana"/>
          <w:lang w:eastAsia="en-GB"/>
        </w:rPr>
        <w:t xml:space="preserve">temp. (CTPHT) it has been concluded by the </w:t>
      </w:r>
      <w:r w:rsidR="00C32F03" w:rsidRPr="006D360C">
        <w:rPr>
          <w:rFonts w:cs="Verdana"/>
          <w:lang w:eastAsia="en-GB"/>
        </w:rPr>
        <w:t xml:space="preserve">Member State Committee (MSC) that </w:t>
      </w:r>
      <w:r w:rsidR="00CB4EB5">
        <w:rPr>
          <w:rFonts w:cs="Verdana"/>
          <w:lang w:eastAsia="en-GB"/>
        </w:rPr>
        <w:t>chrysene</w:t>
      </w:r>
      <w:r w:rsidR="00C32F03" w:rsidRPr="00CB4EB5">
        <w:rPr>
          <w:rFonts w:cs="Verdana"/>
          <w:lang w:eastAsia="en-GB"/>
        </w:rPr>
        <w:t xml:space="preserve"> fulfils the </w:t>
      </w:r>
      <w:r w:rsidR="00165A4D">
        <w:rPr>
          <w:rFonts w:cs="Verdana"/>
          <w:lang w:eastAsia="en-GB"/>
        </w:rPr>
        <w:t xml:space="preserve">PBT and </w:t>
      </w:r>
      <w:proofErr w:type="spellStart"/>
      <w:r w:rsidR="00165A4D">
        <w:rPr>
          <w:rFonts w:cs="Verdana"/>
          <w:lang w:eastAsia="en-GB"/>
        </w:rPr>
        <w:t>vPvB</w:t>
      </w:r>
      <w:proofErr w:type="spellEnd"/>
      <w:r w:rsidR="00165A4D">
        <w:rPr>
          <w:rFonts w:cs="Verdana"/>
          <w:lang w:eastAsia="en-GB"/>
        </w:rPr>
        <w:t xml:space="preserve"> criteria of Annex XIII to the </w:t>
      </w:r>
      <w:r w:rsidR="00CB4EB5">
        <w:rPr>
          <w:rFonts w:cs="Verdana"/>
          <w:lang w:eastAsia="en-GB"/>
        </w:rPr>
        <w:t xml:space="preserve">REACH </w:t>
      </w:r>
      <w:r w:rsidR="00165A4D">
        <w:rPr>
          <w:rFonts w:cs="Verdana"/>
          <w:lang w:eastAsia="en-GB"/>
        </w:rPr>
        <w:t xml:space="preserve">Regulation </w:t>
      </w:r>
      <w:r w:rsidR="00CB4EB5">
        <w:rPr>
          <w:rFonts w:cs="Verdana"/>
          <w:lang w:eastAsia="en-GB"/>
        </w:rPr>
        <w:t>(</w:t>
      </w:r>
      <w:r w:rsidR="00C32F03" w:rsidRPr="00CB4EB5">
        <w:rPr>
          <w:rFonts w:cs="Verdana"/>
          <w:lang w:eastAsia="en-GB"/>
        </w:rPr>
        <w:t>ECHA, 2009)</w:t>
      </w:r>
      <w:r w:rsidR="005A324F" w:rsidRPr="00CB4EB5">
        <w:t xml:space="preserve">. However, </w:t>
      </w:r>
      <w:r w:rsidR="0058440A" w:rsidRPr="00CB4EB5">
        <w:t>CHR</w:t>
      </w:r>
      <w:r w:rsidR="005A324F" w:rsidRPr="00CB4EB5">
        <w:t xml:space="preserve"> and further PAHs whose properties have already been agreed on by the MSC </w:t>
      </w:r>
      <w:r w:rsidR="00D17333" w:rsidRPr="00CB4EB5">
        <w:t xml:space="preserve">in the CTPHT SVHC identification process </w:t>
      </w:r>
      <w:r w:rsidR="005A324F" w:rsidRPr="00CB4EB5">
        <w:t xml:space="preserve">have not yet been proposed for formal SVHC identification and inclusion in the Candidate List. </w:t>
      </w:r>
    </w:p>
    <w:p w14:paraId="11AAA0FA" w14:textId="77777777" w:rsidR="00D17333" w:rsidRPr="003E39C1" w:rsidRDefault="00D17333" w:rsidP="00EE622A">
      <w:pPr>
        <w:jc w:val="both"/>
        <w:rPr>
          <w:bCs/>
        </w:rPr>
      </w:pPr>
    </w:p>
    <w:p w14:paraId="66587AA0" w14:textId="29C58BBA" w:rsidR="004F183B" w:rsidRPr="004A7F1F" w:rsidRDefault="004F183B" w:rsidP="00EE622A">
      <w:pPr>
        <w:jc w:val="both"/>
        <w:rPr>
          <w:bCs/>
        </w:rPr>
      </w:pPr>
      <w:r w:rsidRPr="00212DCD">
        <w:rPr>
          <w:bCs/>
        </w:rPr>
        <w:t>The information which was available and led to the conclusion that CHR is a SVHC is summari</w:t>
      </w:r>
      <w:r w:rsidR="00F30D5B">
        <w:rPr>
          <w:bCs/>
        </w:rPr>
        <w:t>s</w:t>
      </w:r>
      <w:r w:rsidRPr="00212DCD">
        <w:rPr>
          <w:bCs/>
        </w:rPr>
        <w:t xml:space="preserve">ed in the support document for CTPHT (ECHA, 2009). </w:t>
      </w:r>
      <w:r w:rsidR="00E05464">
        <w:t>This information is still valid and allow</w:t>
      </w:r>
      <w:r w:rsidR="006925B3">
        <w:t>s</w:t>
      </w:r>
      <w:r w:rsidR="00E05464">
        <w:t xml:space="preserve"> compact review of the substance properties with a focus on PBT/</w:t>
      </w:r>
      <w:proofErr w:type="spellStart"/>
      <w:r w:rsidR="00E05464">
        <w:t>vPvB</w:t>
      </w:r>
      <w:proofErr w:type="spellEnd"/>
      <w:r w:rsidR="00E05464">
        <w:t>. Therefore, t</w:t>
      </w:r>
      <w:r w:rsidRPr="000A24C2">
        <w:rPr>
          <w:bCs/>
        </w:rPr>
        <w:t>he SVHC identification of CHR in th</w:t>
      </w:r>
      <w:r w:rsidRPr="001A0B5A">
        <w:rPr>
          <w:bCs/>
        </w:rPr>
        <w:t xml:space="preserve">is current dossier is </w:t>
      </w:r>
      <w:r w:rsidR="001225E9">
        <w:rPr>
          <w:bCs/>
        </w:rPr>
        <w:t xml:space="preserve">mainly </w:t>
      </w:r>
      <w:r w:rsidRPr="001A0B5A">
        <w:rPr>
          <w:bCs/>
        </w:rPr>
        <w:t xml:space="preserve">based on the information provided in that support document. </w:t>
      </w:r>
    </w:p>
    <w:p w14:paraId="00CAC26D" w14:textId="77777777" w:rsidR="005A324F" w:rsidRPr="003E39C1" w:rsidRDefault="005A324F" w:rsidP="005A324F">
      <w:pPr>
        <w:jc w:val="both"/>
        <w:rPr>
          <w:bCs/>
        </w:rPr>
      </w:pPr>
    </w:p>
    <w:p w14:paraId="2D40809F" w14:textId="398999BD" w:rsidR="00E05464" w:rsidRPr="00D10FD9" w:rsidRDefault="00E05464" w:rsidP="00E05464">
      <w:pPr>
        <w:jc w:val="both"/>
      </w:pPr>
      <w:r w:rsidRPr="00620B79">
        <w:t xml:space="preserve">In the following, the abbreviation </w:t>
      </w:r>
      <w:r>
        <w:t>CHR</w:t>
      </w:r>
      <w:r w:rsidRPr="00620B79">
        <w:t xml:space="preserve"> is used for</w:t>
      </w:r>
      <w:r>
        <w:t xml:space="preserve"> the substance chrysene</w:t>
      </w:r>
      <w:r w:rsidRPr="00620B79">
        <w:t>.</w:t>
      </w:r>
    </w:p>
    <w:p w14:paraId="1A743A5C" w14:textId="77777777" w:rsidR="00CE229E" w:rsidRDefault="00CE229E" w:rsidP="00DD36C7">
      <w:pPr>
        <w:pStyle w:val="Title"/>
        <w:numPr>
          <w:ilvl w:val="0"/>
          <w:numId w:val="0"/>
        </w:numPr>
        <w:jc w:val="center"/>
        <w:rPr>
          <w:sz w:val="32"/>
        </w:rPr>
      </w:pPr>
    </w:p>
    <w:p w14:paraId="77EF8E72" w14:textId="77777777" w:rsidR="00CE229E" w:rsidRDefault="00CE229E" w:rsidP="00DD36C7">
      <w:pPr>
        <w:pStyle w:val="Title"/>
        <w:numPr>
          <w:ilvl w:val="0"/>
          <w:numId w:val="0"/>
        </w:numPr>
        <w:jc w:val="center"/>
        <w:rPr>
          <w:sz w:val="32"/>
        </w:rPr>
      </w:pPr>
    </w:p>
    <w:p w14:paraId="3C38A001" w14:textId="77777777" w:rsidR="00CE229E" w:rsidRDefault="00CE229E" w:rsidP="00DD36C7">
      <w:pPr>
        <w:pStyle w:val="Title"/>
        <w:numPr>
          <w:ilvl w:val="0"/>
          <w:numId w:val="0"/>
        </w:numPr>
        <w:jc w:val="center"/>
        <w:rPr>
          <w:sz w:val="32"/>
        </w:rPr>
      </w:pPr>
    </w:p>
    <w:p w14:paraId="635F121D" w14:textId="77777777" w:rsidR="00CE229E" w:rsidRDefault="00CE229E" w:rsidP="00DD36C7">
      <w:pPr>
        <w:pStyle w:val="Title"/>
        <w:numPr>
          <w:ilvl w:val="0"/>
          <w:numId w:val="0"/>
        </w:numPr>
        <w:jc w:val="center"/>
        <w:rPr>
          <w:sz w:val="32"/>
        </w:rPr>
      </w:pPr>
    </w:p>
    <w:p w14:paraId="5146D4E0" w14:textId="77777777" w:rsidR="00CE229E" w:rsidRDefault="00CE229E" w:rsidP="00DD36C7">
      <w:pPr>
        <w:pStyle w:val="Title"/>
        <w:numPr>
          <w:ilvl w:val="0"/>
          <w:numId w:val="0"/>
        </w:numPr>
        <w:jc w:val="center"/>
        <w:rPr>
          <w:sz w:val="32"/>
        </w:rPr>
      </w:pPr>
    </w:p>
    <w:p w14:paraId="29545BC8" w14:textId="77777777" w:rsidR="00CE229E" w:rsidRDefault="00CE229E" w:rsidP="00CE229E">
      <w:pPr>
        <w:pStyle w:val="BodyText"/>
      </w:pPr>
    </w:p>
    <w:p w14:paraId="2451D2BD" w14:textId="77777777" w:rsidR="00CE229E" w:rsidRDefault="00CE229E" w:rsidP="00CE229E">
      <w:pPr>
        <w:pStyle w:val="BodyText"/>
      </w:pPr>
    </w:p>
    <w:p w14:paraId="720E5048" w14:textId="77777777" w:rsidR="00CE229E" w:rsidRDefault="00CE229E" w:rsidP="00CE229E">
      <w:pPr>
        <w:pStyle w:val="BodyText"/>
      </w:pPr>
    </w:p>
    <w:p w14:paraId="2A2AE021" w14:textId="77777777" w:rsidR="00CE229E" w:rsidRDefault="00CE229E" w:rsidP="00CE229E">
      <w:pPr>
        <w:pStyle w:val="BodyText"/>
      </w:pPr>
    </w:p>
    <w:p w14:paraId="49E52323" w14:textId="77777777" w:rsidR="00CE229E" w:rsidRPr="00CE229E" w:rsidRDefault="00CE229E" w:rsidP="00CE229E">
      <w:pPr>
        <w:pStyle w:val="BodyText"/>
      </w:pPr>
    </w:p>
    <w:p w14:paraId="115C59FC" w14:textId="31F3D494" w:rsidR="003C419D" w:rsidRPr="00DC41FB" w:rsidRDefault="003C419D" w:rsidP="00DD36C7">
      <w:pPr>
        <w:pStyle w:val="Title"/>
        <w:numPr>
          <w:ilvl w:val="0"/>
          <w:numId w:val="0"/>
        </w:numPr>
        <w:jc w:val="center"/>
        <w:rPr>
          <w:rStyle w:val="Strong"/>
        </w:rPr>
      </w:pPr>
      <w:bookmarkStart w:id="16" w:name="_Toc491868884"/>
      <w:r w:rsidRPr="006D360C">
        <w:rPr>
          <w:sz w:val="32"/>
        </w:rPr>
        <w:lastRenderedPageBreak/>
        <w:t xml:space="preserve">PROPOSAL FOR IDENTIFICATION OF A </w:t>
      </w:r>
      <w:r w:rsidR="002B58B6" w:rsidRPr="006D360C">
        <w:rPr>
          <w:sz w:val="32"/>
        </w:rPr>
        <w:t>SUBSTANCE OF VERY HIGH CONCERN</w:t>
      </w:r>
      <w:r w:rsidRPr="000A24C2">
        <w:rPr>
          <w:sz w:val="32"/>
        </w:rPr>
        <w:t xml:space="preserve"> ON THE BASIS OF </w:t>
      </w:r>
      <w:r w:rsidR="003909BD" w:rsidRPr="001A0B5A">
        <w:rPr>
          <w:sz w:val="32"/>
        </w:rPr>
        <w:t xml:space="preserve">THE </w:t>
      </w:r>
      <w:r w:rsidRPr="004A7F1F">
        <w:rPr>
          <w:sz w:val="32"/>
        </w:rPr>
        <w:t>CRITERIA SET OUT IN REACH ARTICLE 57</w:t>
      </w:r>
      <w:bookmarkEnd w:id="3"/>
      <w:bookmarkEnd w:id="4"/>
      <w:bookmarkEnd w:id="5"/>
      <w:bookmarkEnd w:id="6"/>
      <w:bookmarkEnd w:id="7"/>
      <w:bookmarkEnd w:id="8"/>
      <w:bookmarkEnd w:id="9"/>
      <w:bookmarkEnd w:id="10"/>
      <w:bookmarkEnd w:id="11"/>
      <w:bookmarkEnd w:id="12"/>
      <w:bookmarkEnd w:id="13"/>
      <w:bookmarkEnd w:id="14"/>
      <w:bookmarkEnd w:id="16"/>
    </w:p>
    <w:p w14:paraId="115C59FD" w14:textId="77777777" w:rsidR="00EA5041" w:rsidRPr="004A7F1F" w:rsidRDefault="00EA5041" w:rsidP="0004212E">
      <w:pPr>
        <w:widowControl/>
        <w:spacing w:after="180"/>
        <w:jc w:val="both"/>
        <w:rPr>
          <w:i/>
        </w:rPr>
      </w:pPr>
    </w:p>
    <w:p w14:paraId="115C59FF" w14:textId="309ED9A6" w:rsidR="00B12C39" w:rsidRPr="004A7F1F" w:rsidRDefault="005943A6" w:rsidP="00B12C39">
      <w:pPr>
        <w:widowControl/>
        <w:spacing w:after="180"/>
        <w:jc w:val="both"/>
        <w:rPr>
          <w:rStyle w:val="Strong"/>
          <w:bCs/>
        </w:rPr>
      </w:pPr>
      <w:r w:rsidRPr="004A7F1F">
        <w:rPr>
          <w:rStyle w:val="Strong"/>
          <w:bCs/>
        </w:rPr>
        <w:t>Substance Name</w:t>
      </w:r>
      <w:r w:rsidR="00B12C39" w:rsidRPr="004A7F1F">
        <w:rPr>
          <w:rStyle w:val="Strong"/>
          <w:bCs/>
        </w:rPr>
        <w:t>:</w:t>
      </w:r>
      <w:r w:rsidR="00B12C39" w:rsidRPr="00F61FE3">
        <w:rPr>
          <w:rStyle w:val="Strong"/>
          <w:b w:val="0"/>
          <w:bCs/>
        </w:rPr>
        <w:t xml:space="preserve"> </w:t>
      </w:r>
      <w:r w:rsidR="00D62EF5" w:rsidRPr="00F61FE3">
        <w:t>Chrysene</w:t>
      </w:r>
      <w:r w:rsidR="00B66A06" w:rsidRPr="00F61FE3" w:rsidDel="00B66A06">
        <w:rPr>
          <w:szCs w:val="24"/>
          <w:lang w:eastAsia="en-US"/>
        </w:rPr>
        <w:t xml:space="preserve"> </w:t>
      </w:r>
    </w:p>
    <w:p w14:paraId="115C5A00" w14:textId="462C710B" w:rsidR="00B12C39" w:rsidRPr="003E39C1" w:rsidRDefault="005943A6" w:rsidP="00B12C39">
      <w:pPr>
        <w:widowControl/>
        <w:spacing w:after="180"/>
        <w:jc w:val="both"/>
        <w:rPr>
          <w:rStyle w:val="Strong"/>
          <w:bCs/>
        </w:rPr>
      </w:pPr>
      <w:r w:rsidRPr="003E39C1">
        <w:rPr>
          <w:rStyle w:val="Strong"/>
          <w:bCs/>
        </w:rPr>
        <w:t>EC Number</w:t>
      </w:r>
      <w:r w:rsidR="00B12C39" w:rsidRPr="003E39C1">
        <w:rPr>
          <w:rStyle w:val="Strong"/>
          <w:bCs/>
        </w:rPr>
        <w:t xml:space="preserve">: </w:t>
      </w:r>
      <w:r w:rsidR="00D62EF5" w:rsidRPr="00F61FE3">
        <w:t>205-923-4</w:t>
      </w:r>
    </w:p>
    <w:p w14:paraId="115C5A01" w14:textId="3AAE7C40" w:rsidR="00B12C39" w:rsidRPr="000A24C2" w:rsidRDefault="005943A6" w:rsidP="00B12C39">
      <w:pPr>
        <w:widowControl/>
        <w:spacing w:after="180"/>
        <w:jc w:val="both"/>
        <w:rPr>
          <w:rStyle w:val="Strong"/>
          <w:bCs/>
        </w:rPr>
      </w:pPr>
      <w:r w:rsidRPr="00212DCD">
        <w:rPr>
          <w:rStyle w:val="Strong"/>
          <w:bCs/>
        </w:rPr>
        <w:t>CAS number</w:t>
      </w:r>
      <w:r w:rsidR="00B12C39" w:rsidRPr="006D360C">
        <w:rPr>
          <w:rStyle w:val="Strong"/>
          <w:bCs/>
        </w:rPr>
        <w:t xml:space="preserve">: </w:t>
      </w:r>
      <w:r w:rsidR="00D62EF5" w:rsidRPr="00F61FE3">
        <w:rPr>
          <w:rStyle w:val="Strong"/>
          <w:b w:val="0"/>
          <w:bCs/>
        </w:rPr>
        <w:t>218-01-9</w:t>
      </w:r>
    </w:p>
    <w:p w14:paraId="115C5A03" w14:textId="6952E3FE" w:rsidR="003909BD" w:rsidRPr="00CB4EB5" w:rsidRDefault="003909BD" w:rsidP="00891184">
      <w:pPr>
        <w:numPr>
          <w:ilvl w:val="0"/>
          <w:numId w:val="13"/>
        </w:numPr>
      </w:pPr>
      <w:r w:rsidRPr="004A7F1F">
        <w:t>The substanc</w:t>
      </w:r>
      <w:r w:rsidR="00E8052C" w:rsidRPr="004A7F1F">
        <w:t>e</w:t>
      </w:r>
      <w:r w:rsidR="00C661CC" w:rsidRPr="004A7F1F">
        <w:t xml:space="preserve"> </w:t>
      </w:r>
      <w:r w:rsidRPr="004A7F1F">
        <w:t xml:space="preserve">is proposed to be identified as a substance meeting the criteria of Article 57 (a) of Regulation (EC) </w:t>
      </w:r>
      <w:r w:rsidR="003D2CEA" w:rsidRPr="004A7F1F">
        <w:t xml:space="preserve">No </w:t>
      </w:r>
      <w:r w:rsidRPr="004A7F1F">
        <w:t xml:space="preserve">1907/2006 (REACH) owing to its classification </w:t>
      </w:r>
      <w:r w:rsidR="003D2CEA" w:rsidRPr="004A7F1F">
        <w:t xml:space="preserve">in the hazard class </w:t>
      </w:r>
      <w:r w:rsidRPr="004A7F1F">
        <w:t>carcinogenic</w:t>
      </w:r>
      <w:r w:rsidR="003D2CEA" w:rsidRPr="004A7F1F">
        <w:t>ity</w:t>
      </w:r>
      <w:r w:rsidRPr="004A7F1F">
        <w:t xml:space="preserve"> category </w:t>
      </w:r>
      <w:r w:rsidR="003D2CEA" w:rsidRPr="004A7F1F">
        <w:t>1</w:t>
      </w:r>
      <w:r w:rsidRPr="004A7F1F">
        <w:t>B</w:t>
      </w:r>
      <w:r w:rsidR="00A35A9F" w:rsidRPr="004A7F1F">
        <w:rPr>
          <w:rStyle w:val="FootnoteReference"/>
          <w:rFonts w:ascii="Verdana" w:hAnsi="Verdana"/>
          <w:sz w:val="20"/>
        </w:rPr>
        <w:footnoteReference w:id="1"/>
      </w:r>
      <w:r w:rsidRPr="004A7F1F">
        <w:t>.</w:t>
      </w:r>
    </w:p>
    <w:p w14:paraId="115C5A04" w14:textId="77777777" w:rsidR="003909BD" w:rsidRPr="003E39C1" w:rsidRDefault="003909BD" w:rsidP="003909BD">
      <w:pPr>
        <w:ind w:left="720"/>
      </w:pPr>
    </w:p>
    <w:p w14:paraId="115C5A09" w14:textId="35F10869" w:rsidR="00B12C39" w:rsidRPr="004A7F1F" w:rsidRDefault="00B12C39" w:rsidP="00891184">
      <w:pPr>
        <w:numPr>
          <w:ilvl w:val="0"/>
          <w:numId w:val="13"/>
        </w:numPr>
        <w:jc w:val="both"/>
        <w:rPr>
          <w:lang w:eastAsia="en-US"/>
        </w:rPr>
      </w:pPr>
      <w:r w:rsidRPr="00212DCD">
        <w:rPr>
          <w:lang w:eastAsia="en-US"/>
        </w:rPr>
        <w:t xml:space="preserve">It is proposed to identify the substance as </w:t>
      </w:r>
      <w:r w:rsidR="004D51BA" w:rsidRPr="006D360C">
        <w:rPr>
          <w:lang w:eastAsia="en-US"/>
        </w:rPr>
        <w:t xml:space="preserve">persistent, </w:t>
      </w:r>
      <w:proofErr w:type="spellStart"/>
      <w:r w:rsidR="004D51BA" w:rsidRPr="006D360C">
        <w:rPr>
          <w:lang w:eastAsia="en-US"/>
        </w:rPr>
        <w:t>bioaccumulative</w:t>
      </w:r>
      <w:proofErr w:type="spellEnd"/>
      <w:r w:rsidR="004D51BA" w:rsidRPr="006D360C">
        <w:rPr>
          <w:lang w:eastAsia="en-US"/>
        </w:rPr>
        <w:t xml:space="preserve"> and toxic (</w:t>
      </w:r>
      <w:r w:rsidR="003909BD" w:rsidRPr="006D360C">
        <w:rPr>
          <w:lang w:eastAsia="en-US"/>
        </w:rPr>
        <w:t>PBT</w:t>
      </w:r>
      <w:r w:rsidR="004D51BA" w:rsidRPr="006D360C">
        <w:rPr>
          <w:lang w:eastAsia="en-US"/>
        </w:rPr>
        <w:t>)</w:t>
      </w:r>
      <w:r w:rsidR="003909BD" w:rsidRPr="000A24C2">
        <w:rPr>
          <w:lang w:eastAsia="en-US"/>
        </w:rPr>
        <w:t xml:space="preserve"> according to Article 57 (d)</w:t>
      </w:r>
      <w:r w:rsidR="00CE4DE5" w:rsidRPr="001A0B5A">
        <w:rPr>
          <w:lang w:eastAsia="en-US"/>
        </w:rPr>
        <w:t xml:space="preserve"> </w:t>
      </w:r>
      <w:r w:rsidR="00CE4DE5" w:rsidRPr="004A7F1F">
        <w:t xml:space="preserve">of Regulation (EC) </w:t>
      </w:r>
      <w:r w:rsidR="004D51BA" w:rsidRPr="004A7F1F">
        <w:t xml:space="preserve">No </w:t>
      </w:r>
      <w:r w:rsidR="00CE4DE5" w:rsidRPr="004A7F1F">
        <w:t>1907/2006 (REACH)</w:t>
      </w:r>
      <w:r w:rsidR="003909BD" w:rsidRPr="004A7F1F">
        <w:rPr>
          <w:lang w:eastAsia="en-US"/>
        </w:rPr>
        <w:t>.</w:t>
      </w:r>
    </w:p>
    <w:p w14:paraId="115C5A0A" w14:textId="77777777" w:rsidR="003909BD" w:rsidRPr="004A7F1F" w:rsidRDefault="003909BD" w:rsidP="003909BD">
      <w:pPr>
        <w:jc w:val="both"/>
        <w:rPr>
          <w:lang w:eastAsia="en-US"/>
        </w:rPr>
      </w:pPr>
    </w:p>
    <w:p w14:paraId="115C5A0B" w14:textId="7ADC7FC7" w:rsidR="00B12C39" w:rsidRPr="004A7F1F" w:rsidRDefault="00B12C39" w:rsidP="00891184">
      <w:pPr>
        <w:numPr>
          <w:ilvl w:val="0"/>
          <w:numId w:val="13"/>
        </w:numPr>
        <w:jc w:val="both"/>
        <w:rPr>
          <w:lang w:eastAsia="en-US"/>
        </w:rPr>
      </w:pPr>
      <w:r w:rsidRPr="004A7F1F">
        <w:rPr>
          <w:lang w:eastAsia="en-US"/>
        </w:rPr>
        <w:t xml:space="preserve">It is proposed to identify the substance as </w:t>
      </w:r>
      <w:r w:rsidR="004D51BA" w:rsidRPr="004A7F1F">
        <w:rPr>
          <w:lang w:eastAsia="en-US"/>
        </w:rPr>
        <w:t xml:space="preserve">very persistent and very </w:t>
      </w:r>
      <w:proofErr w:type="spellStart"/>
      <w:r w:rsidR="004D51BA" w:rsidRPr="004A7F1F">
        <w:rPr>
          <w:lang w:eastAsia="en-US"/>
        </w:rPr>
        <w:t>bioaccumulative</w:t>
      </w:r>
      <w:proofErr w:type="spellEnd"/>
      <w:r w:rsidR="004D51BA" w:rsidRPr="004A7F1F">
        <w:rPr>
          <w:lang w:eastAsia="en-US"/>
        </w:rPr>
        <w:t xml:space="preserve"> (</w:t>
      </w:r>
      <w:proofErr w:type="spellStart"/>
      <w:r w:rsidRPr="004A7F1F">
        <w:rPr>
          <w:lang w:eastAsia="en-US"/>
        </w:rPr>
        <w:t>v</w:t>
      </w:r>
      <w:r w:rsidR="003909BD" w:rsidRPr="004A7F1F">
        <w:rPr>
          <w:lang w:eastAsia="en-US"/>
        </w:rPr>
        <w:t>PvB</w:t>
      </w:r>
      <w:proofErr w:type="spellEnd"/>
      <w:r w:rsidR="004D51BA" w:rsidRPr="004A7F1F">
        <w:rPr>
          <w:lang w:eastAsia="en-US"/>
        </w:rPr>
        <w:t>)</w:t>
      </w:r>
      <w:r w:rsidR="003909BD" w:rsidRPr="004A7F1F">
        <w:rPr>
          <w:lang w:eastAsia="en-US"/>
        </w:rPr>
        <w:t xml:space="preserve"> according to Article 57 (e)</w:t>
      </w:r>
      <w:r w:rsidR="00CE4DE5" w:rsidRPr="004A7F1F">
        <w:rPr>
          <w:lang w:eastAsia="en-US"/>
        </w:rPr>
        <w:t xml:space="preserve"> </w:t>
      </w:r>
      <w:r w:rsidR="00CE4DE5" w:rsidRPr="004A7F1F">
        <w:t xml:space="preserve">of Regulation (EC) </w:t>
      </w:r>
      <w:r w:rsidR="004D51BA" w:rsidRPr="004A7F1F">
        <w:t xml:space="preserve">No </w:t>
      </w:r>
      <w:r w:rsidR="00CE4DE5" w:rsidRPr="004A7F1F">
        <w:t>1907/2006 (REACH)</w:t>
      </w:r>
      <w:r w:rsidR="003909BD" w:rsidRPr="004A7F1F">
        <w:rPr>
          <w:lang w:eastAsia="en-US"/>
        </w:rPr>
        <w:t>.</w:t>
      </w:r>
    </w:p>
    <w:p w14:paraId="115C5A0C" w14:textId="77777777" w:rsidR="003909BD" w:rsidRPr="004A7F1F" w:rsidRDefault="003909BD" w:rsidP="003909BD">
      <w:pPr>
        <w:jc w:val="both"/>
        <w:rPr>
          <w:lang w:eastAsia="en-US"/>
        </w:rPr>
      </w:pPr>
    </w:p>
    <w:p w14:paraId="52E18555" w14:textId="77777777" w:rsidR="00EE622A" w:rsidRDefault="00EE622A" w:rsidP="00B12C39">
      <w:pPr>
        <w:widowControl/>
        <w:spacing w:after="180"/>
        <w:jc w:val="both"/>
        <w:rPr>
          <w:rStyle w:val="Strong"/>
          <w:bCs/>
        </w:rPr>
      </w:pPr>
    </w:p>
    <w:p w14:paraId="115C5A0F" w14:textId="77777777" w:rsidR="00B12C39" w:rsidRPr="004A7F1F" w:rsidRDefault="00B12C39" w:rsidP="00B12C39">
      <w:pPr>
        <w:widowControl/>
        <w:spacing w:after="180"/>
        <w:jc w:val="both"/>
        <w:rPr>
          <w:rStyle w:val="Strong"/>
          <w:bCs/>
        </w:rPr>
      </w:pPr>
      <w:r w:rsidRPr="004A7F1F">
        <w:rPr>
          <w:rStyle w:val="Strong"/>
          <w:bCs/>
        </w:rPr>
        <w:t>Summary of how the substance meets the criteria set out in Article 57 of the REACH Regulation</w:t>
      </w:r>
    </w:p>
    <w:p w14:paraId="03BF6207" w14:textId="77777777" w:rsidR="00E72030" w:rsidRPr="003E39C1" w:rsidRDefault="00E72030" w:rsidP="00C17668">
      <w:pPr>
        <w:widowControl/>
        <w:spacing w:after="180"/>
        <w:jc w:val="both"/>
        <w:rPr>
          <w:szCs w:val="24"/>
          <w:u w:val="single"/>
          <w:lang w:eastAsia="en-US"/>
        </w:rPr>
      </w:pPr>
      <w:r w:rsidRPr="003E39C1">
        <w:rPr>
          <w:szCs w:val="24"/>
          <w:u w:val="single"/>
          <w:lang w:eastAsia="en-US"/>
        </w:rPr>
        <w:t>Art 57 (a):</w:t>
      </w:r>
    </w:p>
    <w:p w14:paraId="115C5A12" w14:textId="6020603C" w:rsidR="00C17668" w:rsidRPr="004A7F1F" w:rsidRDefault="00D62EF5" w:rsidP="00C17668">
      <w:pPr>
        <w:widowControl/>
        <w:spacing w:after="180"/>
        <w:jc w:val="both"/>
        <w:rPr>
          <w:szCs w:val="24"/>
          <w:lang w:eastAsia="en-US"/>
        </w:rPr>
      </w:pPr>
      <w:r w:rsidRPr="00212DCD">
        <w:rPr>
          <w:szCs w:val="24"/>
          <w:lang w:eastAsia="en-US"/>
        </w:rPr>
        <w:t>Chrysene</w:t>
      </w:r>
      <w:r w:rsidR="00C17668" w:rsidRPr="00212DCD">
        <w:rPr>
          <w:szCs w:val="24"/>
          <w:lang w:eastAsia="en-US"/>
        </w:rPr>
        <w:t xml:space="preserve"> is covered by index number </w:t>
      </w:r>
      <w:r w:rsidRPr="006D360C">
        <w:rPr>
          <w:szCs w:val="24"/>
          <w:lang w:eastAsia="en-US"/>
        </w:rPr>
        <w:t>601-048-00-0</w:t>
      </w:r>
      <w:r w:rsidR="00C17668" w:rsidRPr="006D360C">
        <w:rPr>
          <w:lang w:eastAsia="en-US"/>
        </w:rPr>
        <w:t xml:space="preserve"> </w:t>
      </w:r>
      <w:r w:rsidR="003740C1" w:rsidRPr="000A24C2">
        <w:t>of Regulation (EC) No 1272/2008 in Annex VI,</w:t>
      </w:r>
      <w:r w:rsidR="003740C1" w:rsidRPr="001A0B5A">
        <w:t xml:space="preserve"> part 3, Table 3.1 (the list of harmonised classification and labelling of hazardous substances) and</w:t>
      </w:r>
      <w:r w:rsidR="00C17668" w:rsidRPr="004A7F1F">
        <w:rPr>
          <w:szCs w:val="24"/>
          <w:lang w:eastAsia="en-US"/>
        </w:rPr>
        <w:t xml:space="preserve"> it is classified in</w:t>
      </w:r>
      <w:r w:rsidR="00C17668" w:rsidRPr="004A7F1F">
        <w:t xml:space="preserve"> the hazard class </w:t>
      </w:r>
      <w:r w:rsidR="00C17668" w:rsidRPr="004A7F1F">
        <w:rPr>
          <w:szCs w:val="24"/>
          <w:lang w:eastAsia="en-US"/>
        </w:rPr>
        <w:t xml:space="preserve">carcinogenicity </w:t>
      </w:r>
      <w:r w:rsidR="00C17668" w:rsidRPr="004A7F1F">
        <w:t xml:space="preserve">category </w:t>
      </w:r>
      <w:r w:rsidR="00C17668" w:rsidRPr="004A7F1F">
        <w:rPr>
          <w:szCs w:val="24"/>
          <w:lang w:eastAsia="en-US"/>
        </w:rPr>
        <w:t xml:space="preserve">1B (hazard statement H350: “May cause cancer”). </w:t>
      </w:r>
    </w:p>
    <w:p w14:paraId="115C5A15" w14:textId="204AC670" w:rsidR="00B12C39" w:rsidRPr="004A7F1F" w:rsidRDefault="00B12C39" w:rsidP="00B12C39">
      <w:pPr>
        <w:jc w:val="both"/>
        <w:rPr>
          <w:lang w:eastAsia="en-US"/>
        </w:rPr>
      </w:pPr>
      <w:r w:rsidRPr="004A7F1F">
        <w:rPr>
          <w:lang w:eastAsia="en-US"/>
        </w:rPr>
        <w:t xml:space="preserve">Therefore, this classification of the substance in Regulation (EC) No 1272/2008 shows that it meets the criteria for classification </w:t>
      </w:r>
      <w:r w:rsidR="00714842" w:rsidRPr="004A7F1F">
        <w:t>in the hazard class</w:t>
      </w:r>
      <w:r w:rsidRPr="004A7F1F">
        <w:rPr>
          <w:lang w:eastAsia="en-US"/>
        </w:rPr>
        <w:t xml:space="preserve">: </w:t>
      </w:r>
    </w:p>
    <w:p w14:paraId="115C5A16" w14:textId="77777777" w:rsidR="002F18A1" w:rsidRPr="004A7F1F" w:rsidRDefault="002F18A1" w:rsidP="00B12C39">
      <w:pPr>
        <w:jc w:val="both"/>
        <w:rPr>
          <w:lang w:eastAsia="en-US"/>
        </w:rPr>
      </w:pPr>
    </w:p>
    <w:p w14:paraId="115C5A17" w14:textId="4E9808F2" w:rsidR="00B12C39" w:rsidRPr="004A7F1F" w:rsidRDefault="000634C2" w:rsidP="00891184">
      <w:pPr>
        <w:numPr>
          <w:ilvl w:val="0"/>
          <w:numId w:val="18"/>
        </w:numPr>
        <w:jc w:val="both"/>
        <w:rPr>
          <w:lang w:eastAsia="en-US"/>
        </w:rPr>
      </w:pPr>
      <w:r w:rsidRPr="004A7F1F">
        <w:rPr>
          <w:lang w:eastAsia="en-US"/>
        </w:rPr>
        <w:t>C</w:t>
      </w:r>
      <w:r w:rsidR="00B12C39" w:rsidRPr="004A7F1F">
        <w:rPr>
          <w:lang w:eastAsia="en-US"/>
        </w:rPr>
        <w:t>arcinogen</w:t>
      </w:r>
      <w:r w:rsidRPr="004A7F1F">
        <w:rPr>
          <w:lang w:eastAsia="en-US"/>
        </w:rPr>
        <w:t xml:space="preserve">icity </w:t>
      </w:r>
      <w:r w:rsidRPr="004A7F1F">
        <w:t>category 1B</w:t>
      </w:r>
      <w:r w:rsidR="00B12C39" w:rsidRPr="004A7F1F">
        <w:rPr>
          <w:lang w:eastAsia="en-US"/>
        </w:rPr>
        <w:t xml:space="preserve"> in accordance with Article 57 (a)</w:t>
      </w:r>
      <w:r w:rsidR="001723D9" w:rsidRPr="004A7F1F">
        <w:rPr>
          <w:lang w:eastAsia="en-US"/>
        </w:rPr>
        <w:t xml:space="preserve"> of REACH.</w:t>
      </w:r>
    </w:p>
    <w:p w14:paraId="115C5A1A" w14:textId="77777777" w:rsidR="00B12C39" w:rsidRPr="004A7F1F" w:rsidRDefault="00B12C39" w:rsidP="00B12C39">
      <w:pPr>
        <w:jc w:val="both"/>
        <w:rPr>
          <w:lang w:eastAsia="en-US"/>
        </w:rPr>
      </w:pPr>
    </w:p>
    <w:p w14:paraId="115C5A1B" w14:textId="77777777" w:rsidR="00302930" w:rsidRPr="004A7F1F" w:rsidRDefault="00302930" w:rsidP="00B12C39">
      <w:pPr>
        <w:jc w:val="both"/>
        <w:rPr>
          <w:lang w:eastAsia="en-US"/>
        </w:rPr>
      </w:pPr>
    </w:p>
    <w:p w14:paraId="115C5A1D" w14:textId="4C1BB346" w:rsidR="0038266E" w:rsidRPr="004A7F1F" w:rsidRDefault="00E72030" w:rsidP="00B12C39">
      <w:pPr>
        <w:widowControl/>
        <w:autoSpaceDE w:val="0"/>
        <w:autoSpaceDN w:val="0"/>
        <w:adjustRightInd w:val="0"/>
        <w:jc w:val="both"/>
        <w:rPr>
          <w:rFonts w:cs="Verdana"/>
          <w:u w:val="single"/>
          <w:lang w:eastAsia="en-GB"/>
        </w:rPr>
      </w:pPr>
      <w:r w:rsidRPr="004A7F1F">
        <w:rPr>
          <w:rFonts w:cs="Verdana"/>
          <w:u w:val="single"/>
          <w:lang w:eastAsia="en-GB"/>
        </w:rPr>
        <w:t>Art 57 (d) and (e):</w:t>
      </w:r>
    </w:p>
    <w:p w14:paraId="115C5A25" w14:textId="77777777" w:rsidR="00FC5726" w:rsidRPr="004A7F1F" w:rsidRDefault="00FC5726" w:rsidP="00B12C39">
      <w:pPr>
        <w:jc w:val="both"/>
        <w:rPr>
          <w:rFonts w:cs="Verdana"/>
          <w:i/>
          <w:lang w:eastAsia="en-GB"/>
        </w:rPr>
      </w:pPr>
    </w:p>
    <w:p w14:paraId="3A8E6520" w14:textId="5C866E48" w:rsidR="000D671E" w:rsidRDefault="000D671E" w:rsidP="000D671E">
      <w:pPr>
        <w:jc w:val="both"/>
      </w:pPr>
      <w:r w:rsidRPr="004A7F1F">
        <w:t>An assessment of the PBT/</w:t>
      </w:r>
      <w:proofErr w:type="spellStart"/>
      <w:r w:rsidRPr="004A7F1F">
        <w:t>vPvB</w:t>
      </w:r>
      <w:proofErr w:type="spellEnd"/>
      <w:r w:rsidRPr="004A7F1F">
        <w:t xml:space="preserve"> properties of CHR has already been carried out by the MSC in the context of the identification of CTPHT as SVHC</w:t>
      </w:r>
      <w:r w:rsidR="000B472C" w:rsidRPr="004A7F1F">
        <w:t>,</w:t>
      </w:r>
      <w:r w:rsidRPr="004A7F1F">
        <w:t xml:space="preserve"> as documented in the MSC Support Document for identification of CTPHT as SVHC (ECHA, 2009).  </w:t>
      </w:r>
      <w:r w:rsidR="00EC3B3B">
        <w:t>A</w:t>
      </w:r>
      <w:r w:rsidRPr="004A7F1F">
        <w:t xml:space="preserve">dditional information was assessed earlier in the EU Risk Assessment Report on CTPHT (European Commission, 2008) and the Annex XV Transitional Dossier on CTPHT (NL, 2008). Both reports support the conclusions on the PBT and </w:t>
      </w:r>
      <w:proofErr w:type="spellStart"/>
      <w:r w:rsidRPr="004A7F1F">
        <w:t>vPvB</w:t>
      </w:r>
      <w:proofErr w:type="spellEnd"/>
      <w:r w:rsidRPr="004A7F1F">
        <w:t xml:space="preserve"> properties of CHR already drawn in the MSC Support Document on CTPHT.</w:t>
      </w:r>
      <w:r w:rsidR="00F17DF3" w:rsidRPr="00F17DF3">
        <w:t xml:space="preserve"> </w:t>
      </w:r>
      <w:r w:rsidR="00EC3B3B">
        <w:t>The</w:t>
      </w:r>
      <w:r w:rsidR="00F17DF3">
        <w:t xml:space="preserve"> information </w:t>
      </w:r>
      <w:r w:rsidR="00EC3B3B">
        <w:t xml:space="preserve">leading to the identification of CTPHT as SVHC </w:t>
      </w:r>
      <w:r w:rsidR="00F17DF3">
        <w:t xml:space="preserve">is still valid and allow compact </w:t>
      </w:r>
      <w:r w:rsidR="002C7C8F">
        <w:t>assessment</w:t>
      </w:r>
      <w:r w:rsidR="00F17DF3">
        <w:t xml:space="preserve"> of the substance properties with a focus on PBT/</w:t>
      </w:r>
      <w:proofErr w:type="spellStart"/>
      <w:r w:rsidR="00F17DF3">
        <w:t>vPvB</w:t>
      </w:r>
      <w:proofErr w:type="spellEnd"/>
      <w:r w:rsidR="00F17DF3">
        <w:t>.</w:t>
      </w:r>
    </w:p>
    <w:p w14:paraId="30C4DECD" w14:textId="77777777" w:rsidR="00EE622A" w:rsidRDefault="00EE622A" w:rsidP="000D671E">
      <w:pPr>
        <w:jc w:val="both"/>
      </w:pPr>
    </w:p>
    <w:p w14:paraId="0BA43EE9" w14:textId="77777777" w:rsidR="00EE622A" w:rsidRPr="004A7F1F" w:rsidRDefault="00EE622A" w:rsidP="000D671E">
      <w:pPr>
        <w:jc w:val="both"/>
      </w:pPr>
    </w:p>
    <w:p w14:paraId="03CA5006" w14:textId="77777777" w:rsidR="000D671E" w:rsidRPr="003E39C1" w:rsidRDefault="000D671E" w:rsidP="000D671E">
      <w:pPr>
        <w:jc w:val="both"/>
      </w:pPr>
    </w:p>
    <w:p w14:paraId="036CB007" w14:textId="77777777" w:rsidR="000D671E" w:rsidRPr="00212DCD" w:rsidRDefault="000D671E" w:rsidP="000D671E">
      <w:pPr>
        <w:jc w:val="both"/>
        <w:rPr>
          <w:rFonts w:cs="Verdana"/>
          <w:u w:val="single"/>
          <w:lang w:val="en-US" w:eastAsia="en-GB"/>
        </w:rPr>
      </w:pPr>
      <w:r w:rsidRPr="00212DCD">
        <w:rPr>
          <w:rFonts w:cs="Verdana"/>
          <w:u w:val="single"/>
          <w:lang w:val="en-US" w:eastAsia="en-GB"/>
        </w:rPr>
        <w:lastRenderedPageBreak/>
        <w:t>Persistence</w:t>
      </w:r>
    </w:p>
    <w:p w14:paraId="7BA9B8B5" w14:textId="2C41B246" w:rsidR="000D671E" w:rsidRPr="001A0B5A" w:rsidRDefault="000D671E" w:rsidP="000D671E">
      <w:pPr>
        <w:jc w:val="both"/>
      </w:pPr>
      <w:r w:rsidRPr="006D360C">
        <w:t xml:space="preserve">Based on the available information from </w:t>
      </w:r>
      <w:r w:rsidR="001A0B5A">
        <w:t>experimental and estimated data</w:t>
      </w:r>
      <w:r w:rsidRPr="006D360C">
        <w:t>, CHR degrades very slowly in soil with half-lives of &gt; 1</w:t>
      </w:r>
      <w:r w:rsidRPr="001A0B5A">
        <w:t xml:space="preserve">80 d. Thus, the P and the </w:t>
      </w:r>
      <w:proofErr w:type="spellStart"/>
      <w:proofErr w:type="gramStart"/>
      <w:r w:rsidRPr="001A0B5A">
        <w:t>vP</w:t>
      </w:r>
      <w:proofErr w:type="spellEnd"/>
      <w:proofErr w:type="gramEnd"/>
      <w:r w:rsidRPr="001A0B5A">
        <w:t xml:space="preserve"> criteria of REACH Annex XIII are fulfilled.</w:t>
      </w:r>
    </w:p>
    <w:p w14:paraId="391FF27D" w14:textId="77777777" w:rsidR="000D671E" w:rsidRPr="004A7F1F" w:rsidRDefault="000D671E" w:rsidP="000D671E">
      <w:pPr>
        <w:jc w:val="both"/>
        <w:rPr>
          <w:rFonts w:cs="Verdana"/>
          <w:u w:val="single"/>
          <w:lang w:val="en-US" w:eastAsia="en-GB"/>
        </w:rPr>
      </w:pPr>
    </w:p>
    <w:p w14:paraId="19A66D45" w14:textId="77777777" w:rsidR="000D671E" w:rsidRPr="004A7F1F" w:rsidRDefault="000D671E" w:rsidP="000D671E">
      <w:pPr>
        <w:jc w:val="both"/>
        <w:rPr>
          <w:rFonts w:cs="Verdana"/>
          <w:u w:val="single"/>
          <w:lang w:val="en-US" w:eastAsia="en-GB"/>
        </w:rPr>
      </w:pPr>
      <w:r w:rsidRPr="004A7F1F">
        <w:rPr>
          <w:rFonts w:cs="Verdana"/>
          <w:u w:val="single"/>
          <w:lang w:val="en-US" w:eastAsia="en-GB"/>
        </w:rPr>
        <w:t>Bioaccumulation</w:t>
      </w:r>
    </w:p>
    <w:p w14:paraId="20BAAAF6" w14:textId="77777777" w:rsidR="000D671E" w:rsidRPr="006D21A3" w:rsidRDefault="000D671E" w:rsidP="00EE622A">
      <w:pPr>
        <w:jc w:val="both"/>
      </w:pPr>
      <w:r w:rsidRPr="004A7F1F">
        <w:t xml:space="preserve">The bioaccumulation of CHR in Crustacea were measured and BCFs &gt; 5000 obtained. Thus, the B and the </w:t>
      </w:r>
      <w:proofErr w:type="spellStart"/>
      <w:r w:rsidRPr="004A7F1F">
        <w:t>vB</w:t>
      </w:r>
      <w:proofErr w:type="spellEnd"/>
      <w:r w:rsidRPr="004A7F1F">
        <w:t xml:space="preserve"> criteria of REACH Annex XIII are fulfilled.</w:t>
      </w:r>
    </w:p>
    <w:p w14:paraId="343D705E" w14:textId="77777777" w:rsidR="000D671E" w:rsidRPr="004A7F1F" w:rsidRDefault="000D671E" w:rsidP="00EE622A">
      <w:pPr>
        <w:jc w:val="both"/>
      </w:pPr>
    </w:p>
    <w:p w14:paraId="340C8730" w14:textId="77777777" w:rsidR="000D671E" w:rsidRPr="004A7F1F" w:rsidRDefault="000D671E" w:rsidP="00EE622A">
      <w:pPr>
        <w:jc w:val="both"/>
        <w:rPr>
          <w:rFonts w:cs="Verdana"/>
          <w:u w:val="single"/>
          <w:lang w:eastAsia="en-GB"/>
        </w:rPr>
      </w:pPr>
      <w:r w:rsidRPr="004A7F1F">
        <w:rPr>
          <w:rFonts w:cs="Verdana"/>
          <w:u w:val="single"/>
          <w:lang w:eastAsia="en-GB"/>
        </w:rPr>
        <w:t>Toxicity (only relevant for PBT substances)</w:t>
      </w:r>
    </w:p>
    <w:p w14:paraId="5FAB0963" w14:textId="77777777" w:rsidR="000D671E" w:rsidRPr="004A7F1F" w:rsidRDefault="000D671E" w:rsidP="00EE622A">
      <w:pPr>
        <w:jc w:val="both"/>
      </w:pPr>
      <w:r w:rsidRPr="004A7F1F">
        <w:t xml:space="preserve">CHR is </w:t>
      </w:r>
      <w:r w:rsidRPr="004A7F1F">
        <w:rPr>
          <w:szCs w:val="24"/>
          <w:lang w:eastAsia="en-US"/>
        </w:rPr>
        <w:t>classified in</w:t>
      </w:r>
      <w:r w:rsidRPr="004A7F1F">
        <w:t xml:space="preserve"> the hazard class </w:t>
      </w:r>
      <w:r w:rsidRPr="004A7F1F">
        <w:rPr>
          <w:szCs w:val="24"/>
          <w:lang w:eastAsia="en-US"/>
        </w:rPr>
        <w:t xml:space="preserve">carcinogenicity </w:t>
      </w:r>
      <w:r w:rsidRPr="004A7F1F">
        <w:t xml:space="preserve">category </w:t>
      </w:r>
      <w:r w:rsidRPr="004A7F1F">
        <w:rPr>
          <w:szCs w:val="24"/>
          <w:lang w:eastAsia="en-US"/>
        </w:rPr>
        <w:t>1B according to EU Regulation 1272/2008. Thus, the T criterion of REACH Annex XIII 1.1.3 b) is fulfilled.</w:t>
      </w:r>
    </w:p>
    <w:p w14:paraId="3F9409B6" w14:textId="77777777" w:rsidR="000D671E" w:rsidRPr="004A7F1F" w:rsidRDefault="000D671E" w:rsidP="00EE622A">
      <w:pPr>
        <w:widowControl/>
        <w:autoSpaceDE w:val="0"/>
        <w:autoSpaceDN w:val="0"/>
        <w:adjustRightInd w:val="0"/>
        <w:jc w:val="both"/>
        <w:rPr>
          <w:lang w:eastAsia="en-US"/>
        </w:rPr>
      </w:pPr>
    </w:p>
    <w:p w14:paraId="14A17251" w14:textId="77777777" w:rsidR="008A67F6" w:rsidRPr="004A7F1F" w:rsidRDefault="008A67F6" w:rsidP="00EE622A">
      <w:pPr>
        <w:widowControl/>
        <w:autoSpaceDE w:val="0"/>
        <w:autoSpaceDN w:val="0"/>
        <w:adjustRightInd w:val="0"/>
        <w:jc w:val="both"/>
        <w:rPr>
          <w:lang w:eastAsia="en-US"/>
        </w:rPr>
      </w:pPr>
    </w:p>
    <w:p w14:paraId="10AB4A45" w14:textId="77777777" w:rsidR="008A67F6" w:rsidRPr="004A7F1F" w:rsidRDefault="008A67F6" w:rsidP="00EE622A">
      <w:pPr>
        <w:widowControl/>
        <w:autoSpaceDE w:val="0"/>
        <w:autoSpaceDN w:val="0"/>
        <w:adjustRightInd w:val="0"/>
        <w:jc w:val="both"/>
        <w:rPr>
          <w:lang w:eastAsia="en-US"/>
        </w:rPr>
      </w:pPr>
    </w:p>
    <w:p w14:paraId="2D45506D" w14:textId="370E1B5B" w:rsidR="000D671E" w:rsidRPr="004A7F1F" w:rsidRDefault="008A67F6" w:rsidP="00EE622A">
      <w:pPr>
        <w:jc w:val="both"/>
        <w:rPr>
          <w:rFonts w:cs="Verdana"/>
          <w:u w:val="single"/>
          <w:lang w:eastAsia="en-GB"/>
        </w:rPr>
      </w:pPr>
      <w:r w:rsidRPr="004A7F1F">
        <w:rPr>
          <w:rFonts w:cs="Verdana"/>
          <w:u w:val="single"/>
          <w:lang w:eastAsia="en-GB"/>
        </w:rPr>
        <w:t>Overall</w:t>
      </w:r>
      <w:r w:rsidR="00EE622A">
        <w:rPr>
          <w:rFonts w:cs="Verdana"/>
          <w:u w:val="single"/>
          <w:lang w:eastAsia="en-GB"/>
        </w:rPr>
        <w:t xml:space="preserve"> </w:t>
      </w:r>
      <w:r w:rsidRPr="004A7F1F">
        <w:rPr>
          <w:rFonts w:cs="Verdana"/>
          <w:u w:val="single"/>
          <w:lang w:eastAsia="en-GB"/>
        </w:rPr>
        <w:t>c</w:t>
      </w:r>
      <w:r w:rsidR="000D671E" w:rsidRPr="004A7F1F">
        <w:rPr>
          <w:rFonts w:cs="Verdana"/>
          <w:u w:val="single"/>
          <w:lang w:eastAsia="en-GB"/>
        </w:rPr>
        <w:t>onclusion</w:t>
      </w:r>
    </w:p>
    <w:p w14:paraId="6E4165FF" w14:textId="333C3A11" w:rsidR="008F08E4" w:rsidRPr="00165A4D" w:rsidRDefault="000D671E" w:rsidP="00EE622A">
      <w:pPr>
        <w:widowControl/>
        <w:autoSpaceDE w:val="0"/>
        <w:autoSpaceDN w:val="0"/>
        <w:adjustRightInd w:val="0"/>
        <w:jc w:val="both"/>
        <w:rPr>
          <w:rFonts w:cs="Verdana"/>
          <w:lang w:eastAsia="en-GB"/>
        </w:rPr>
      </w:pPr>
      <w:r w:rsidRPr="004A7F1F">
        <w:rPr>
          <w:lang w:eastAsia="en-US"/>
        </w:rPr>
        <w:t xml:space="preserve">In conclusion, </w:t>
      </w:r>
      <w:r w:rsidRPr="004A7F1F">
        <w:rPr>
          <w:szCs w:val="24"/>
          <w:lang w:eastAsia="en-US"/>
        </w:rPr>
        <w:t xml:space="preserve">chrysene </w:t>
      </w:r>
      <w:r w:rsidRPr="004A7F1F">
        <w:rPr>
          <w:lang w:eastAsia="en-US"/>
        </w:rPr>
        <w:t>meets the criteria for a</w:t>
      </w:r>
      <w:r w:rsidRPr="004A7F1F">
        <w:rPr>
          <w:i/>
          <w:lang w:eastAsia="en-US"/>
        </w:rPr>
        <w:t xml:space="preserve"> </w:t>
      </w:r>
      <w:r w:rsidRPr="004A7F1F">
        <w:rPr>
          <w:lang w:eastAsia="en-US"/>
        </w:rPr>
        <w:t xml:space="preserve">PBT and </w:t>
      </w:r>
      <w:proofErr w:type="spellStart"/>
      <w:r w:rsidRPr="004A7F1F">
        <w:rPr>
          <w:lang w:eastAsia="en-US"/>
        </w:rPr>
        <w:t>vPvB</w:t>
      </w:r>
      <w:proofErr w:type="spellEnd"/>
      <w:r w:rsidRPr="004A7F1F">
        <w:rPr>
          <w:i/>
          <w:lang w:eastAsia="en-US"/>
        </w:rPr>
        <w:t xml:space="preserve"> </w:t>
      </w:r>
      <w:r w:rsidRPr="004A7F1F">
        <w:rPr>
          <w:lang w:eastAsia="en-US"/>
        </w:rPr>
        <w:t>substance according to Article 57 (d) and (e)</w:t>
      </w:r>
      <w:r w:rsidRPr="004A7F1F">
        <w:rPr>
          <w:i/>
          <w:lang w:eastAsia="en-US"/>
        </w:rPr>
        <w:t xml:space="preserve"> </w:t>
      </w:r>
      <w:r w:rsidRPr="004A7F1F">
        <w:rPr>
          <w:lang w:eastAsia="en-US"/>
        </w:rPr>
        <w:t>REACH</w:t>
      </w:r>
      <w:r w:rsidR="00EE622A">
        <w:rPr>
          <w:lang w:eastAsia="en-US"/>
        </w:rPr>
        <w:t xml:space="preserve"> </w:t>
      </w:r>
      <w:r w:rsidR="00D645FF">
        <w:rPr>
          <w:lang w:eastAsia="en-US"/>
        </w:rPr>
        <w:t xml:space="preserve">based on weight-of-evidence determination </w:t>
      </w:r>
      <w:r w:rsidRPr="004A7F1F">
        <w:rPr>
          <w:lang w:eastAsia="en-US"/>
        </w:rPr>
        <w:t>and the criteria for carcinogenicity to Article 57 (a)</w:t>
      </w:r>
      <w:r w:rsidRPr="00CB4EB5">
        <w:rPr>
          <w:i/>
          <w:lang w:eastAsia="en-US"/>
        </w:rPr>
        <w:t>.</w:t>
      </w:r>
      <w:r w:rsidR="008F08E4" w:rsidRPr="00CB4EB5">
        <w:t xml:space="preserve"> </w:t>
      </w:r>
    </w:p>
    <w:p w14:paraId="572B401C" w14:textId="4DADD58B" w:rsidR="000D671E" w:rsidRPr="003E39C1" w:rsidRDefault="000D671E" w:rsidP="000D671E">
      <w:pPr>
        <w:widowControl/>
        <w:autoSpaceDE w:val="0"/>
        <w:autoSpaceDN w:val="0"/>
        <w:adjustRightInd w:val="0"/>
        <w:jc w:val="both"/>
        <w:rPr>
          <w:lang w:eastAsia="en-US"/>
        </w:rPr>
      </w:pPr>
    </w:p>
    <w:p w14:paraId="31475C32" w14:textId="77777777" w:rsidR="000D671E" w:rsidRPr="00212DCD" w:rsidRDefault="000D671E" w:rsidP="000D671E">
      <w:pPr>
        <w:widowControl/>
        <w:autoSpaceDE w:val="0"/>
        <w:autoSpaceDN w:val="0"/>
        <w:adjustRightInd w:val="0"/>
        <w:jc w:val="both"/>
        <w:rPr>
          <w:lang w:eastAsia="en-US"/>
        </w:rPr>
      </w:pPr>
    </w:p>
    <w:p w14:paraId="115C5A30" w14:textId="0CA43E6A" w:rsidR="00B12C39" w:rsidRPr="006D360C" w:rsidRDefault="00B12C39" w:rsidP="00B12C39">
      <w:pPr>
        <w:jc w:val="both"/>
        <w:rPr>
          <w:lang w:eastAsia="en-US"/>
        </w:rPr>
      </w:pPr>
    </w:p>
    <w:p w14:paraId="115C5A31" w14:textId="77777777" w:rsidR="00B12C39" w:rsidRPr="006D21A3" w:rsidRDefault="00B12C39" w:rsidP="00B12C39">
      <w:pPr>
        <w:widowControl/>
        <w:autoSpaceDE w:val="0"/>
        <w:autoSpaceDN w:val="0"/>
        <w:adjustRightInd w:val="0"/>
        <w:rPr>
          <w:rFonts w:cs="Verdana"/>
          <w:i/>
          <w:lang w:eastAsia="en-GB"/>
        </w:rPr>
      </w:pPr>
    </w:p>
    <w:p w14:paraId="115C5A32" w14:textId="77777777" w:rsidR="00B12C39" w:rsidRPr="004A7F1F" w:rsidRDefault="00B12C39" w:rsidP="00B12C39">
      <w:pPr>
        <w:widowControl/>
        <w:autoSpaceDE w:val="0"/>
        <w:autoSpaceDN w:val="0"/>
        <w:adjustRightInd w:val="0"/>
        <w:jc w:val="both"/>
        <w:rPr>
          <w:rFonts w:cs="Verdana"/>
          <w:i/>
          <w:lang w:eastAsia="en-GB"/>
        </w:rPr>
      </w:pPr>
    </w:p>
    <w:p w14:paraId="115C5A44" w14:textId="77777777" w:rsidR="00C07CEF" w:rsidRPr="004A7F1F" w:rsidRDefault="00C07CEF" w:rsidP="00B12C39">
      <w:pPr>
        <w:jc w:val="both"/>
        <w:rPr>
          <w:rStyle w:val="Strong"/>
          <w:b w:val="0"/>
          <w:bCs/>
          <w:i/>
        </w:rPr>
      </w:pPr>
    </w:p>
    <w:p w14:paraId="115C5A45" w14:textId="77777777" w:rsidR="00B12C39" w:rsidRPr="004A7F1F" w:rsidRDefault="00B12C39" w:rsidP="00B12C39">
      <w:pPr>
        <w:jc w:val="both"/>
        <w:rPr>
          <w:rStyle w:val="Strong"/>
          <w:b w:val="0"/>
          <w:bCs/>
        </w:rPr>
      </w:pPr>
    </w:p>
    <w:p w14:paraId="115C5A46" w14:textId="080A48BD" w:rsidR="00B12C39" w:rsidRPr="004A7F1F" w:rsidRDefault="00B12C39" w:rsidP="009C4BF4">
      <w:pPr>
        <w:widowControl/>
        <w:jc w:val="both"/>
        <w:rPr>
          <w:rStyle w:val="Strong"/>
          <w:bCs/>
        </w:rPr>
      </w:pPr>
      <w:r w:rsidRPr="004A7F1F">
        <w:rPr>
          <w:rStyle w:val="Strong"/>
          <w:bCs/>
        </w:rPr>
        <w:t>Registration dossiers submitted for the substance? No</w:t>
      </w:r>
    </w:p>
    <w:p w14:paraId="115C5A47" w14:textId="77777777" w:rsidR="00B12C39" w:rsidRPr="004A7F1F" w:rsidRDefault="00B12C39" w:rsidP="00CD2F3D">
      <w:pPr>
        <w:pStyle w:val="Title"/>
        <w:numPr>
          <w:ilvl w:val="0"/>
          <w:numId w:val="0"/>
        </w:numPr>
        <w:jc w:val="center"/>
        <w:rPr>
          <w:sz w:val="32"/>
        </w:rPr>
      </w:pPr>
      <w:r w:rsidRPr="004A7F1F">
        <w:br w:type="page"/>
      </w:r>
      <w:bookmarkStart w:id="17" w:name="_Toc316637274"/>
      <w:bookmarkStart w:id="18" w:name="_Toc341888501"/>
      <w:bookmarkStart w:id="19" w:name="_Toc342400355"/>
      <w:bookmarkStart w:id="20" w:name="_Toc357184189"/>
      <w:bookmarkStart w:id="21" w:name="_Toc357184425"/>
      <w:bookmarkStart w:id="22" w:name="_Toc357185226"/>
      <w:bookmarkStart w:id="23" w:name="_Toc357186074"/>
      <w:bookmarkStart w:id="24" w:name="_Toc357186223"/>
      <w:bookmarkStart w:id="25" w:name="_Toc357437509"/>
      <w:bookmarkStart w:id="26" w:name="_Toc357590782"/>
      <w:bookmarkStart w:id="27" w:name="_Toc357692814"/>
      <w:bookmarkStart w:id="28" w:name="_Toc365649641"/>
      <w:bookmarkStart w:id="29" w:name="_Toc365649790"/>
      <w:bookmarkStart w:id="30" w:name="_Toc366489842"/>
      <w:bookmarkStart w:id="31" w:name="_Toc418498547"/>
      <w:bookmarkStart w:id="32" w:name="_Toc418505990"/>
      <w:bookmarkStart w:id="33" w:name="_Toc491868885"/>
      <w:r w:rsidRPr="004A7F1F">
        <w:rPr>
          <w:sz w:val="32"/>
        </w:rPr>
        <w:lastRenderedPageBreak/>
        <w:t>PART I</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115C5A4E" w14:textId="77777777" w:rsidR="00B12C39" w:rsidRPr="004A7F1F" w:rsidRDefault="00B12C39" w:rsidP="00DD36C7">
      <w:pPr>
        <w:pStyle w:val="Title"/>
        <w:numPr>
          <w:ilvl w:val="0"/>
          <w:numId w:val="0"/>
        </w:numPr>
        <w:jc w:val="center"/>
        <w:rPr>
          <w:sz w:val="32"/>
        </w:rPr>
      </w:pPr>
      <w:bookmarkStart w:id="34" w:name="_Toc316637275"/>
      <w:bookmarkStart w:id="35" w:name="_Toc341888502"/>
      <w:bookmarkStart w:id="36" w:name="_Toc342400356"/>
      <w:bookmarkStart w:id="37" w:name="_Toc357185227"/>
      <w:bookmarkStart w:id="38" w:name="_Toc357186075"/>
      <w:bookmarkStart w:id="39" w:name="_Toc357186224"/>
      <w:bookmarkStart w:id="40" w:name="_Toc357437510"/>
      <w:bookmarkStart w:id="41" w:name="_Toc357590783"/>
      <w:bookmarkStart w:id="42" w:name="_Toc357692815"/>
      <w:bookmarkStart w:id="43" w:name="_Toc365649642"/>
      <w:bookmarkStart w:id="44" w:name="_Toc365649791"/>
      <w:bookmarkStart w:id="45" w:name="_Toc366489843"/>
      <w:bookmarkStart w:id="46" w:name="_Toc418498548"/>
      <w:bookmarkStart w:id="47" w:name="_Toc418505991"/>
      <w:bookmarkStart w:id="48" w:name="_Toc491868886"/>
      <w:r w:rsidRPr="004A7F1F">
        <w:rPr>
          <w:sz w:val="32"/>
        </w:rPr>
        <w:t>Justification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115C5A53" w14:textId="77777777" w:rsidR="00E56BD3" w:rsidRPr="004A7F1F" w:rsidRDefault="00E56BD3" w:rsidP="00B12C39">
      <w:pPr>
        <w:widowControl/>
        <w:spacing w:after="180"/>
        <w:jc w:val="both"/>
        <w:rPr>
          <w:i/>
          <w:szCs w:val="24"/>
          <w:lang w:eastAsia="en-US"/>
        </w:rPr>
      </w:pPr>
    </w:p>
    <w:p w14:paraId="115C5A54" w14:textId="77777777" w:rsidR="00B12C39" w:rsidRPr="004A7F1F" w:rsidRDefault="00B12C39" w:rsidP="00C85A85">
      <w:pPr>
        <w:pStyle w:val="Heading1"/>
        <w:ind w:left="426" w:hanging="426"/>
      </w:pPr>
      <w:bookmarkStart w:id="49" w:name="_Toc341888503"/>
      <w:bookmarkStart w:id="50" w:name="_Toc342400357"/>
      <w:bookmarkStart w:id="51" w:name="_Toc354499568"/>
      <w:bookmarkStart w:id="52" w:name="_Toc357083641"/>
      <w:bookmarkStart w:id="53" w:name="_Toc357184190"/>
      <w:bookmarkStart w:id="54" w:name="_Toc357184426"/>
      <w:bookmarkStart w:id="55" w:name="_Toc357185228"/>
      <w:bookmarkStart w:id="56" w:name="_Toc357186076"/>
      <w:bookmarkStart w:id="57" w:name="_Toc357186225"/>
      <w:bookmarkStart w:id="58" w:name="_Toc357437511"/>
      <w:bookmarkStart w:id="59" w:name="_Toc357590784"/>
      <w:bookmarkStart w:id="60" w:name="_Toc357692816"/>
      <w:bookmarkStart w:id="61" w:name="_Toc365649643"/>
      <w:bookmarkStart w:id="62" w:name="_Toc365649792"/>
      <w:bookmarkStart w:id="63" w:name="_Toc366489844"/>
      <w:bookmarkStart w:id="64" w:name="_Toc418498549"/>
      <w:bookmarkStart w:id="65" w:name="_Toc418505992"/>
      <w:bookmarkStart w:id="66" w:name="_Toc491868887"/>
      <w:r w:rsidRPr="004A7F1F">
        <w:t>Identity of the substance and physical and chemical properties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115C5A5A" w14:textId="2D58807C" w:rsidR="00B12C39" w:rsidRPr="004A7F1F" w:rsidRDefault="00E936AE" w:rsidP="00EE622A">
      <w:pPr>
        <w:pStyle w:val="BodyText"/>
        <w:jc w:val="both"/>
        <w:rPr>
          <w:i/>
        </w:rPr>
      </w:pPr>
      <w:r w:rsidRPr="004A7F1F">
        <w:rPr>
          <w:i/>
        </w:rPr>
        <w:t xml:space="preserve">  </w:t>
      </w:r>
    </w:p>
    <w:p w14:paraId="115C5A5B" w14:textId="412CED34" w:rsidR="00B12C39" w:rsidRPr="004A7F1F" w:rsidRDefault="00B12C39" w:rsidP="00BB6734">
      <w:pPr>
        <w:pStyle w:val="Heading2"/>
        <w:numPr>
          <w:ilvl w:val="1"/>
          <w:numId w:val="1"/>
        </w:numPr>
        <w:tabs>
          <w:tab w:val="clear" w:pos="360"/>
          <w:tab w:val="num" w:pos="0"/>
        </w:tabs>
      </w:pPr>
      <w:bookmarkStart w:id="67" w:name="_Toc341888504"/>
      <w:bookmarkStart w:id="68" w:name="_Toc342400358"/>
      <w:bookmarkStart w:id="69" w:name="_Toc354499569"/>
      <w:bookmarkStart w:id="70" w:name="_Toc357083642"/>
      <w:bookmarkStart w:id="71" w:name="_Toc357184191"/>
      <w:bookmarkStart w:id="72" w:name="_Toc357184427"/>
      <w:bookmarkStart w:id="73" w:name="_Toc357185229"/>
      <w:bookmarkStart w:id="74" w:name="_Toc357186077"/>
      <w:bookmarkStart w:id="75" w:name="_Toc357186226"/>
      <w:bookmarkStart w:id="76" w:name="_Toc357437512"/>
      <w:bookmarkStart w:id="77" w:name="_Toc357590785"/>
      <w:bookmarkStart w:id="78" w:name="_Toc357692817"/>
      <w:bookmarkStart w:id="79" w:name="_Toc365649644"/>
      <w:bookmarkStart w:id="80" w:name="_Toc365649793"/>
      <w:bookmarkStart w:id="81" w:name="_Toc366489845"/>
      <w:bookmarkStart w:id="82" w:name="_Toc418498550"/>
      <w:bookmarkStart w:id="83" w:name="_Toc418505993"/>
      <w:bookmarkStart w:id="84" w:name="_Toc491868888"/>
      <w:r w:rsidRPr="004A7F1F">
        <w:t>Name and other identifiers of the substance</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115C5A5E" w14:textId="77777777" w:rsidR="00B12C39" w:rsidRPr="004A7F1F" w:rsidRDefault="00B12C39" w:rsidP="00C860C0">
      <w:pPr>
        <w:pStyle w:val="Caption"/>
        <w:rPr>
          <w:b/>
          <w:sz w:val="18"/>
          <w:szCs w:val="18"/>
        </w:rPr>
      </w:pPr>
      <w:bookmarkStart w:id="85" w:name="_Toc341889781"/>
      <w:bookmarkStart w:id="86" w:name="_Toc357184842"/>
      <w:bookmarkStart w:id="87" w:name="_Toc359563693"/>
      <w:bookmarkStart w:id="88" w:name="_Toc365030502"/>
      <w:bookmarkStart w:id="89" w:name="_Toc492027480"/>
      <w:r w:rsidRPr="004A7F1F">
        <w:rPr>
          <w:b/>
          <w:sz w:val="18"/>
          <w:szCs w:val="18"/>
        </w:rPr>
        <w:t xml:space="preserve">Table </w:t>
      </w:r>
      <w:r w:rsidR="000721AD" w:rsidRPr="002567E3">
        <w:rPr>
          <w:b/>
          <w:sz w:val="18"/>
          <w:szCs w:val="18"/>
        </w:rPr>
        <w:fldChar w:fldCharType="begin"/>
      </w:r>
      <w:r w:rsidRPr="004A7F1F">
        <w:rPr>
          <w:b/>
          <w:sz w:val="18"/>
          <w:szCs w:val="18"/>
        </w:rPr>
        <w:instrText xml:space="preserve"> SEQ Table \* ARABIC </w:instrText>
      </w:r>
      <w:r w:rsidR="000721AD" w:rsidRPr="002567E3">
        <w:rPr>
          <w:b/>
          <w:sz w:val="18"/>
          <w:szCs w:val="18"/>
        </w:rPr>
        <w:fldChar w:fldCharType="separate"/>
      </w:r>
      <w:r w:rsidR="009D4B0B">
        <w:rPr>
          <w:b/>
          <w:noProof/>
          <w:sz w:val="18"/>
          <w:szCs w:val="18"/>
        </w:rPr>
        <w:t>1</w:t>
      </w:r>
      <w:r w:rsidR="000721AD" w:rsidRPr="002567E3">
        <w:rPr>
          <w:b/>
          <w:sz w:val="18"/>
          <w:szCs w:val="18"/>
        </w:rPr>
        <w:fldChar w:fldCharType="end"/>
      </w:r>
      <w:r w:rsidRPr="004A7F1F">
        <w:rPr>
          <w:b/>
          <w:sz w:val="18"/>
          <w:szCs w:val="18"/>
        </w:rPr>
        <w:t>: Substance identity</w:t>
      </w:r>
      <w:bookmarkEnd w:id="85"/>
      <w:bookmarkEnd w:id="86"/>
      <w:bookmarkEnd w:id="87"/>
      <w:bookmarkEnd w:id="88"/>
      <w:bookmarkEnd w:id="89"/>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18"/>
        <w:gridCol w:w="5137"/>
      </w:tblGrid>
      <w:tr w:rsidR="00B12C39" w:rsidRPr="004A7F1F" w14:paraId="115C5A61" w14:textId="77777777">
        <w:trPr>
          <w:trHeight w:val="363"/>
        </w:trPr>
        <w:tc>
          <w:tcPr>
            <w:tcW w:w="4518" w:type="dxa"/>
            <w:tcMar>
              <w:top w:w="40" w:type="dxa"/>
              <w:left w:w="40" w:type="dxa"/>
              <w:bottom w:w="40" w:type="dxa"/>
              <w:right w:w="40" w:type="dxa"/>
            </w:tcMar>
          </w:tcPr>
          <w:p w14:paraId="115C5A5F" w14:textId="77777777" w:rsidR="00B12C39" w:rsidRPr="004A7F1F" w:rsidRDefault="00B12C39" w:rsidP="00B12C39">
            <w:pPr>
              <w:pStyle w:val="TableRowHeader"/>
              <w:rPr>
                <w:sz w:val="18"/>
                <w:szCs w:val="18"/>
              </w:rPr>
            </w:pPr>
            <w:r w:rsidRPr="004A7F1F">
              <w:rPr>
                <w:sz w:val="18"/>
                <w:szCs w:val="18"/>
              </w:rPr>
              <w:t>EC number:</w:t>
            </w:r>
          </w:p>
        </w:tc>
        <w:tc>
          <w:tcPr>
            <w:tcW w:w="5137" w:type="dxa"/>
            <w:tcMar>
              <w:top w:w="40" w:type="dxa"/>
              <w:left w:w="40" w:type="dxa"/>
              <w:bottom w:w="40" w:type="dxa"/>
              <w:right w:w="40" w:type="dxa"/>
            </w:tcMar>
          </w:tcPr>
          <w:p w14:paraId="115C5A60" w14:textId="79104705" w:rsidR="00B12C39" w:rsidRPr="004A7F1F" w:rsidRDefault="004B10F1" w:rsidP="00B12C39">
            <w:pPr>
              <w:keepNext/>
              <w:keepLines/>
              <w:widowControl/>
              <w:spacing w:before="54" w:after="54"/>
              <w:ind w:left="113"/>
              <w:jc w:val="both"/>
              <w:rPr>
                <w:sz w:val="18"/>
                <w:szCs w:val="18"/>
                <w:lang w:eastAsia="da-DK"/>
              </w:rPr>
            </w:pPr>
            <w:r w:rsidRPr="004A7F1F">
              <w:rPr>
                <w:sz w:val="18"/>
                <w:szCs w:val="18"/>
                <w:lang w:eastAsia="da-DK"/>
              </w:rPr>
              <w:t>205-923-4</w:t>
            </w:r>
          </w:p>
        </w:tc>
      </w:tr>
      <w:tr w:rsidR="00B12C39" w:rsidRPr="004A7F1F" w14:paraId="115C5A64" w14:textId="77777777">
        <w:trPr>
          <w:trHeight w:val="371"/>
        </w:trPr>
        <w:tc>
          <w:tcPr>
            <w:tcW w:w="4518" w:type="dxa"/>
            <w:tcMar>
              <w:top w:w="40" w:type="dxa"/>
              <w:left w:w="40" w:type="dxa"/>
              <w:bottom w:w="40" w:type="dxa"/>
              <w:right w:w="40" w:type="dxa"/>
            </w:tcMar>
          </w:tcPr>
          <w:p w14:paraId="115C5A62" w14:textId="77777777" w:rsidR="00B12C39" w:rsidRPr="004A7F1F" w:rsidRDefault="00B12C39" w:rsidP="00B12C39">
            <w:pPr>
              <w:pStyle w:val="TableRowHeader"/>
              <w:rPr>
                <w:sz w:val="18"/>
                <w:szCs w:val="18"/>
              </w:rPr>
            </w:pPr>
            <w:r w:rsidRPr="004A7F1F">
              <w:rPr>
                <w:sz w:val="18"/>
                <w:szCs w:val="18"/>
              </w:rPr>
              <w:t>EC name:</w:t>
            </w:r>
          </w:p>
        </w:tc>
        <w:tc>
          <w:tcPr>
            <w:tcW w:w="5137" w:type="dxa"/>
            <w:tcMar>
              <w:top w:w="40" w:type="dxa"/>
              <w:left w:w="40" w:type="dxa"/>
              <w:bottom w:w="40" w:type="dxa"/>
              <w:right w:w="40" w:type="dxa"/>
            </w:tcMar>
          </w:tcPr>
          <w:p w14:paraId="115C5A63" w14:textId="7403D4FA" w:rsidR="00B12C39" w:rsidRPr="004A7F1F" w:rsidRDefault="004B10F1" w:rsidP="00B12C39">
            <w:pPr>
              <w:keepNext/>
              <w:keepLines/>
              <w:widowControl/>
              <w:spacing w:before="54" w:after="54"/>
              <w:ind w:left="113"/>
              <w:jc w:val="both"/>
              <w:rPr>
                <w:sz w:val="18"/>
                <w:szCs w:val="18"/>
                <w:lang w:eastAsia="da-DK"/>
              </w:rPr>
            </w:pPr>
            <w:r w:rsidRPr="004A7F1F">
              <w:t>Chrysen</w:t>
            </w:r>
            <w:r w:rsidR="003000E7" w:rsidRPr="004A7F1F">
              <w:t>e</w:t>
            </w:r>
          </w:p>
        </w:tc>
      </w:tr>
      <w:tr w:rsidR="00B12C39" w:rsidRPr="004A7F1F" w14:paraId="115C5A67" w14:textId="77777777">
        <w:trPr>
          <w:trHeight w:val="393"/>
        </w:trPr>
        <w:tc>
          <w:tcPr>
            <w:tcW w:w="4518" w:type="dxa"/>
            <w:tcMar>
              <w:top w:w="40" w:type="dxa"/>
              <w:left w:w="40" w:type="dxa"/>
              <w:bottom w:w="40" w:type="dxa"/>
              <w:right w:w="40" w:type="dxa"/>
            </w:tcMar>
          </w:tcPr>
          <w:p w14:paraId="115C5A65" w14:textId="77777777" w:rsidR="00B12C39" w:rsidRPr="004A7F1F" w:rsidRDefault="00B12C39" w:rsidP="00B12C39">
            <w:pPr>
              <w:pStyle w:val="TableRowHeader"/>
              <w:rPr>
                <w:sz w:val="18"/>
                <w:szCs w:val="18"/>
              </w:rPr>
            </w:pPr>
            <w:r w:rsidRPr="004A7F1F">
              <w:rPr>
                <w:sz w:val="18"/>
                <w:szCs w:val="18"/>
              </w:rPr>
              <w:t>CAS number (in the EC inventory):</w:t>
            </w:r>
          </w:p>
        </w:tc>
        <w:tc>
          <w:tcPr>
            <w:tcW w:w="5137" w:type="dxa"/>
            <w:tcMar>
              <w:top w:w="40" w:type="dxa"/>
              <w:left w:w="40" w:type="dxa"/>
              <w:bottom w:w="40" w:type="dxa"/>
              <w:right w:w="40" w:type="dxa"/>
            </w:tcMar>
          </w:tcPr>
          <w:p w14:paraId="115C5A66" w14:textId="1BE60820" w:rsidR="00B12C39" w:rsidRPr="004A7F1F" w:rsidRDefault="004B10F1" w:rsidP="00B12C39">
            <w:pPr>
              <w:keepNext/>
              <w:keepLines/>
              <w:widowControl/>
              <w:spacing w:before="54" w:after="54"/>
              <w:ind w:left="113"/>
              <w:jc w:val="both"/>
              <w:rPr>
                <w:sz w:val="18"/>
                <w:szCs w:val="18"/>
                <w:lang w:eastAsia="da-DK"/>
              </w:rPr>
            </w:pPr>
            <w:r w:rsidRPr="004A7F1F">
              <w:rPr>
                <w:sz w:val="18"/>
                <w:szCs w:val="18"/>
                <w:lang w:eastAsia="da-DK"/>
              </w:rPr>
              <w:t>218-01-9</w:t>
            </w:r>
          </w:p>
        </w:tc>
      </w:tr>
      <w:tr w:rsidR="00B12C39" w:rsidRPr="004A7F1F" w14:paraId="115C5A6B" w14:textId="77777777">
        <w:trPr>
          <w:trHeight w:val="760"/>
        </w:trPr>
        <w:tc>
          <w:tcPr>
            <w:tcW w:w="4518" w:type="dxa"/>
            <w:tcMar>
              <w:top w:w="40" w:type="dxa"/>
              <w:left w:w="40" w:type="dxa"/>
              <w:bottom w:w="40" w:type="dxa"/>
              <w:right w:w="40" w:type="dxa"/>
            </w:tcMar>
          </w:tcPr>
          <w:p w14:paraId="115C5A68" w14:textId="77777777" w:rsidR="00B12C39" w:rsidRPr="004A7F1F" w:rsidRDefault="00B12C39" w:rsidP="00B12C39">
            <w:pPr>
              <w:pStyle w:val="TableRowHeader"/>
              <w:rPr>
                <w:sz w:val="18"/>
                <w:szCs w:val="18"/>
              </w:rPr>
            </w:pPr>
            <w:r w:rsidRPr="004A7F1F">
              <w:rPr>
                <w:sz w:val="18"/>
                <w:szCs w:val="18"/>
              </w:rPr>
              <w:t>CAS number:</w:t>
            </w:r>
          </w:p>
          <w:p w14:paraId="115C5A69" w14:textId="77777777" w:rsidR="00B12C39" w:rsidRPr="004A7F1F" w:rsidRDefault="00B12C39" w:rsidP="00B12C39">
            <w:pPr>
              <w:pStyle w:val="TableRowHeader"/>
              <w:rPr>
                <w:sz w:val="18"/>
                <w:szCs w:val="18"/>
              </w:rPr>
            </w:pPr>
            <w:r w:rsidRPr="004A7F1F">
              <w:rPr>
                <w:sz w:val="18"/>
                <w:szCs w:val="18"/>
              </w:rPr>
              <w:t>Deleted CAS numbers:</w:t>
            </w:r>
          </w:p>
        </w:tc>
        <w:tc>
          <w:tcPr>
            <w:tcW w:w="5137" w:type="dxa"/>
            <w:tcMar>
              <w:top w:w="40" w:type="dxa"/>
              <w:left w:w="40" w:type="dxa"/>
              <w:bottom w:w="40" w:type="dxa"/>
              <w:right w:w="40" w:type="dxa"/>
            </w:tcMar>
          </w:tcPr>
          <w:p w14:paraId="115C5A6A" w14:textId="4078F7B3" w:rsidR="00B12C39" w:rsidRPr="004A7F1F" w:rsidRDefault="00B12C39" w:rsidP="00B12C39">
            <w:pPr>
              <w:keepNext/>
              <w:keepLines/>
              <w:widowControl/>
              <w:spacing w:before="54" w:after="54"/>
              <w:ind w:left="113"/>
              <w:jc w:val="both"/>
              <w:rPr>
                <w:sz w:val="18"/>
                <w:szCs w:val="18"/>
                <w:lang w:eastAsia="da-DK"/>
              </w:rPr>
            </w:pPr>
          </w:p>
        </w:tc>
      </w:tr>
      <w:tr w:rsidR="00B12C39" w:rsidRPr="004A7F1F" w14:paraId="115C5A6E" w14:textId="77777777">
        <w:trPr>
          <w:trHeight w:val="30"/>
        </w:trPr>
        <w:tc>
          <w:tcPr>
            <w:tcW w:w="4518" w:type="dxa"/>
            <w:tcMar>
              <w:top w:w="40" w:type="dxa"/>
              <w:left w:w="40" w:type="dxa"/>
              <w:bottom w:w="40" w:type="dxa"/>
              <w:right w:w="40" w:type="dxa"/>
            </w:tcMar>
          </w:tcPr>
          <w:p w14:paraId="115C5A6C" w14:textId="77777777" w:rsidR="00B12C39" w:rsidRPr="004A7F1F" w:rsidRDefault="00B12C39" w:rsidP="00B12C39">
            <w:pPr>
              <w:pStyle w:val="TableRowHeader"/>
              <w:rPr>
                <w:sz w:val="18"/>
                <w:szCs w:val="18"/>
              </w:rPr>
            </w:pPr>
            <w:r w:rsidRPr="004A7F1F">
              <w:rPr>
                <w:sz w:val="18"/>
                <w:szCs w:val="18"/>
              </w:rPr>
              <w:t>CAS name:</w:t>
            </w:r>
          </w:p>
        </w:tc>
        <w:tc>
          <w:tcPr>
            <w:tcW w:w="5137" w:type="dxa"/>
            <w:tcMar>
              <w:top w:w="40" w:type="dxa"/>
              <w:left w:w="40" w:type="dxa"/>
              <w:bottom w:w="40" w:type="dxa"/>
              <w:right w:w="40" w:type="dxa"/>
            </w:tcMar>
          </w:tcPr>
          <w:p w14:paraId="115C5A6D" w14:textId="24C6E2FA" w:rsidR="00B12C39" w:rsidRPr="004A7F1F" w:rsidRDefault="004B10F1" w:rsidP="00B12C39">
            <w:pPr>
              <w:keepNext/>
              <w:keepLines/>
              <w:widowControl/>
              <w:spacing w:before="54" w:after="54"/>
              <w:ind w:left="113"/>
              <w:jc w:val="both"/>
              <w:rPr>
                <w:sz w:val="18"/>
                <w:szCs w:val="18"/>
                <w:lang w:eastAsia="da-DK"/>
              </w:rPr>
            </w:pPr>
            <w:r w:rsidRPr="004A7F1F">
              <w:t>chrysene</w:t>
            </w:r>
          </w:p>
        </w:tc>
      </w:tr>
      <w:tr w:rsidR="00B12C39" w:rsidRPr="004A7F1F" w14:paraId="115C5A71" w14:textId="77777777">
        <w:tc>
          <w:tcPr>
            <w:tcW w:w="4518" w:type="dxa"/>
            <w:tcMar>
              <w:top w:w="40" w:type="dxa"/>
              <w:left w:w="40" w:type="dxa"/>
              <w:bottom w:w="40" w:type="dxa"/>
              <w:right w:w="40" w:type="dxa"/>
            </w:tcMar>
          </w:tcPr>
          <w:p w14:paraId="115C5A6F" w14:textId="77777777" w:rsidR="00B12C39" w:rsidRPr="004A7F1F" w:rsidRDefault="00B12C39" w:rsidP="00B12C39">
            <w:pPr>
              <w:pStyle w:val="TableRowHeader"/>
              <w:rPr>
                <w:sz w:val="18"/>
                <w:szCs w:val="18"/>
              </w:rPr>
            </w:pPr>
            <w:r w:rsidRPr="004A7F1F">
              <w:rPr>
                <w:sz w:val="18"/>
                <w:szCs w:val="18"/>
              </w:rPr>
              <w:t>IUPAC name:</w:t>
            </w:r>
          </w:p>
        </w:tc>
        <w:tc>
          <w:tcPr>
            <w:tcW w:w="5137" w:type="dxa"/>
            <w:tcMar>
              <w:top w:w="40" w:type="dxa"/>
              <w:left w:w="40" w:type="dxa"/>
              <w:bottom w:w="40" w:type="dxa"/>
              <w:right w:w="40" w:type="dxa"/>
            </w:tcMar>
          </w:tcPr>
          <w:p w14:paraId="115C5A70" w14:textId="630F4626" w:rsidR="00B12C39" w:rsidRPr="004A7F1F" w:rsidRDefault="004B10F1" w:rsidP="00B12C39">
            <w:pPr>
              <w:keepNext/>
              <w:keepLines/>
              <w:widowControl/>
              <w:spacing w:before="54" w:after="54"/>
              <w:ind w:left="113"/>
              <w:jc w:val="both"/>
              <w:rPr>
                <w:sz w:val="18"/>
                <w:szCs w:val="18"/>
                <w:lang w:eastAsia="da-DK"/>
              </w:rPr>
            </w:pPr>
            <w:r w:rsidRPr="004A7F1F">
              <w:t>chrysene</w:t>
            </w:r>
          </w:p>
        </w:tc>
      </w:tr>
      <w:tr w:rsidR="00B12C39" w:rsidRPr="004A7F1F" w14:paraId="115C5A74" w14:textId="77777777">
        <w:tc>
          <w:tcPr>
            <w:tcW w:w="4518" w:type="dxa"/>
            <w:tcMar>
              <w:top w:w="40" w:type="dxa"/>
              <w:left w:w="40" w:type="dxa"/>
              <w:bottom w:w="40" w:type="dxa"/>
              <w:right w:w="40" w:type="dxa"/>
            </w:tcMar>
          </w:tcPr>
          <w:p w14:paraId="115C5A72" w14:textId="77777777" w:rsidR="00B12C39" w:rsidRPr="004A7F1F" w:rsidRDefault="00B12C39" w:rsidP="00B12C39">
            <w:pPr>
              <w:pStyle w:val="TableRowHeader"/>
              <w:rPr>
                <w:sz w:val="18"/>
                <w:szCs w:val="18"/>
              </w:rPr>
            </w:pPr>
            <w:r w:rsidRPr="004A7F1F">
              <w:rPr>
                <w:sz w:val="18"/>
                <w:szCs w:val="18"/>
              </w:rPr>
              <w:t>Index number in Annex VI of the CLP Regulation</w:t>
            </w:r>
          </w:p>
        </w:tc>
        <w:tc>
          <w:tcPr>
            <w:tcW w:w="5137" w:type="dxa"/>
            <w:tcMar>
              <w:top w:w="40" w:type="dxa"/>
              <w:left w:w="40" w:type="dxa"/>
              <w:bottom w:w="40" w:type="dxa"/>
              <w:right w:w="40" w:type="dxa"/>
            </w:tcMar>
          </w:tcPr>
          <w:p w14:paraId="115C5A73" w14:textId="1DED800F" w:rsidR="00B12C39" w:rsidRPr="004A7F1F" w:rsidRDefault="004B10F1" w:rsidP="00B12C39">
            <w:pPr>
              <w:keepNext/>
              <w:keepLines/>
              <w:widowControl/>
              <w:spacing w:before="54" w:after="54"/>
              <w:ind w:left="113"/>
              <w:jc w:val="both"/>
              <w:rPr>
                <w:sz w:val="18"/>
                <w:szCs w:val="18"/>
                <w:lang w:eastAsia="da-DK"/>
              </w:rPr>
            </w:pPr>
            <w:r w:rsidRPr="004A7F1F">
              <w:rPr>
                <w:szCs w:val="24"/>
                <w:lang w:eastAsia="en-US"/>
              </w:rPr>
              <w:t>601-048-00-0</w:t>
            </w:r>
          </w:p>
        </w:tc>
      </w:tr>
      <w:tr w:rsidR="00B12C39" w:rsidRPr="004A7F1F" w14:paraId="115C5A77" w14:textId="77777777">
        <w:tc>
          <w:tcPr>
            <w:tcW w:w="4518" w:type="dxa"/>
            <w:tcMar>
              <w:top w:w="40" w:type="dxa"/>
              <w:left w:w="40" w:type="dxa"/>
              <w:bottom w:w="40" w:type="dxa"/>
              <w:right w:w="40" w:type="dxa"/>
            </w:tcMar>
          </w:tcPr>
          <w:p w14:paraId="115C5A75" w14:textId="77777777" w:rsidR="00B12C39" w:rsidRPr="004A7F1F" w:rsidRDefault="00B12C39" w:rsidP="00B12C39">
            <w:pPr>
              <w:pStyle w:val="TableRowHeader"/>
              <w:rPr>
                <w:sz w:val="18"/>
                <w:szCs w:val="18"/>
              </w:rPr>
            </w:pPr>
            <w:r w:rsidRPr="004A7F1F">
              <w:rPr>
                <w:sz w:val="18"/>
                <w:szCs w:val="18"/>
              </w:rPr>
              <w:t>Molecular formula:</w:t>
            </w:r>
          </w:p>
        </w:tc>
        <w:tc>
          <w:tcPr>
            <w:tcW w:w="5137" w:type="dxa"/>
            <w:tcMar>
              <w:top w:w="40" w:type="dxa"/>
              <w:left w:w="40" w:type="dxa"/>
              <w:bottom w:w="40" w:type="dxa"/>
              <w:right w:w="40" w:type="dxa"/>
            </w:tcMar>
          </w:tcPr>
          <w:p w14:paraId="115C5A76" w14:textId="6F5E4942" w:rsidR="00B12C39" w:rsidRPr="004A7F1F" w:rsidRDefault="00860AA3" w:rsidP="00B12C39">
            <w:pPr>
              <w:keepNext/>
              <w:keepLines/>
              <w:widowControl/>
              <w:spacing w:before="54" w:after="54"/>
              <w:ind w:left="113"/>
              <w:jc w:val="both"/>
              <w:rPr>
                <w:sz w:val="18"/>
                <w:szCs w:val="18"/>
                <w:lang w:eastAsia="da-DK"/>
              </w:rPr>
            </w:pPr>
            <w:r w:rsidRPr="004A7F1F">
              <w:rPr>
                <w:sz w:val="18"/>
                <w:szCs w:val="18"/>
                <w:lang w:eastAsia="da-DK"/>
              </w:rPr>
              <w:t>C18H12</w:t>
            </w:r>
          </w:p>
        </w:tc>
      </w:tr>
      <w:tr w:rsidR="00B12C39" w:rsidRPr="004A7F1F" w14:paraId="115C5A7A" w14:textId="77777777">
        <w:trPr>
          <w:trHeight w:val="407"/>
        </w:trPr>
        <w:tc>
          <w:tcPr>
            <w:tcW w:w="4518" w:type="dxa"/>
            <w:tcMar>
              <w:top w:w="40" w:type="dxa"/>
              <w:left w:w="40" w:type="dxa"/>
              <w:bottom w:w="40" w:type="dxa"/>
              <w:right w:w="40" w:type="dxa"/>
            </w:tcMar>
          </w:tcPr>
          <w:p w14:paraId="115C5A78" w14:textId="77777777" w:rsidR="00B12C39" w:rsidRPr="004A7F1F" w:rsidRDefault="00B12C39" w:rsidP="00B12C39">
            <w:pPr>
              <w:pStyle w:val="TableRowHeader"/>
              <w:rPr>
                <w:sz w:val="18"/>
                <w:szCs w:val="18"/>
              </w:rPr>
            </w:pPr>
            <w:r w:rsidRPr="004A7F1F">
              <w:rPr>
                <w:sz w:val="18"/>
                <w:szCs w:val="18"/>
              </w:rPr>
              <w:t>Molecular weight range:</w:t>
            </w:r>
          </w:p>
        </w:tc>
        <w:tc>
          <w:tcPr>
            <w:tcW w:w="5137" w:type="dxa"/>
            <w:tcMar>
              <w:top w:w="40" w:type="dxa"/>
              <w:left w:w="40" w:type="dxa"/>
              <w:bottom w:w="40" w:type="dxa"/>
              <w:right w:w="40" w:type="dxa"/>
            </w:tcMar>
          </w:tcPr>
          <w:p w14:paraId="115C5A79" w14:textId="0F2D65BC" w:rsidR="00B12C39" w:rsidRPr="004A7F1F" w:rsidRDefault="00860AA3" w:rsidP="00B12C39">
            <w:pPr>
              <w:keepNext/>
              <w:keepLines/>
              <w:widowControl/>
              <w:spacing w:before="54" w:after="54"/>
              <w:ind w:left="113"/>
              <w:jc w:val="both"/>
              <w:rPr>
                <w:sz w:val="18"/>
                <w:szCs w:val="18"/>
                <w:lang w:eastAsia="da-DK"/>
              </w:rPr>
            </w:pPr>
            <w:r w:rsidRPr="004A7F1F">
              <w:rPr>
                <w:sz w:val="18"/>
                <w:szCs w:val="18"/>
                <w:lang w:eastAsia="da-DK"/>
              </w:rPr>
              <w:t>228.29</w:t>
            </w:r>
          </w:p>
        </w:tc>
      </w:tr>
      <w:tr w:rsidR="00B12C39" w:rsidRPr="004A7F1F" w14:paraId="115C5A7D" w14:textId="77777777" w:rsidTr="009E0412">
        <w:trPr>
          <w:trHeight w:val="680"/>
        </w:trPr>
        <w:tc>
          <w:tcPr>
            <w:tcW w:w="4518" w:type="dxa"/>
            <w:tcMar>
              <w:top w:w="40" w:type="dxa"/>
              <w:left w:w="40" w:type="dxa"/>
              <w:bottom w:w="40" w:type="dxa"/>
              <w:right w:w="40" w:type="dxa"/>
            </w:tcMar>
          </w:tcPr>
          <w:p w14:paraId="115C5A7B" w14:textId="77777777" w:rsidR="00B12C39" w:rsidRPr="004A7F1F" w:rsidRDefault="00B12C39" w:rsidP="00B12C39">
            <w:pPr>
              <w:pStyle w:val="TableRowHeader"/>
              <w:rPr>
                <w:sz w:val="18"/>
                <w:szCs w:val="18"/>
              </w:rPr>
            </w:pPr>
            <w:r w:rsidRPr="004A7F1F">
              <w:rPr>
                <w:sz w:val="18"/>
                <w:szCs w:val="18"/>
              </w:rPr>
              <w:t>Synonyms:</w:t>
            </w:r>
          </w:p>
        </w:tc>
        <w:tc>
          <w:tcPr>
            <w:tcW w:w="5137" w:type="dxa"/>
            <w:tcMar>
              <w:top w:w="40" w:type="dxa"/>
              <w:left w:w="40" w:type="dxa"/>
              <w:bottom w:w="40" w:type="dxa"/>
              <w:right w:w="40" w:type="dxa"/>
            </w:tcMar>
          </w:tcPr>
          <w:p w14:paraId="6B28EEB6" w14:textId="77777777" w:rsidR="00557E43" w:rsidRPr="00EE622A" w:rsidRDefault="00557E43" w:rsidP="00557E43">
            <w:pPr>
              <w:rPr>
                <w:sz w:val="18"/>
              </w:rPr>
            </w:pPr>
            <w:r w:rsidRPr="00EE622A">
              <w:rPr>
                <w:sz w:val="18"/>
              </w:rPr>
              <w:t>Benzo[a]</w:t>
            </w:r>
            <w:proofErr w:type="spellStart"/>
            <w:r w:rsidRPr="00EE622A">
              <w:rPr>
                <w:sz w:val="18"/>
              </w:rPr>
              <w:t>phenanthrene</w:t>
            </w:r>
            <w:proofErr w:type="spellEnd"/>
          </w:p>
          <w:p w14:paraId="1C5A9D9A" w14:textId="77777777" w:rsidR="00557E43" w:rsidRPr="00EE622A" w:rsidRDefault="00557E43" w:rsidP="00557E43">
            <w:pPr>
              <w:rPr>
                <w:sz w:val="18"/>
              </w:rPr>
            </w:pPr>
            <w:r w:rsidRPr="00EE622A">
              <w:rPr>
                <w:sz w:val="18"/>
              </w:rPr>
              <w:t>1,2-Benzphenanthrene</w:t>
            </w:r>
          </w:p>
          <w:p w14:paraId="5B5CDC8F" w14:textId="77777777" w:rsidR="00557E43" w:rsidRPr="00EE622A" w:rsidRDefault="00557E43" w:rsidP="00557E43">
            <w:pPr>
              <w:rPr>
                <w:sz w:val="18"/>
              </w:rPr>
            </w:pPr>
            <w:r w:rsidRPr="00EE622A">
              <w:rPr>
                <w:sz w:val="18"/>
              </w:rPr>
              <w:t>1,2-Benzophenanthrene</w:t>
            </w:r>
          </w:p>
          <w:p w14:paraId="14863BF5" w14:textId="77777777" w:rsidR="00557E43" w:rsidRPr="00EE622A" w:rsidRDefault="00557E43" w:rsidP="00557E43">
            <w:pPr>
              <w:rPr>
                <w:sz w:val="18"/>
              </w:rPr>
            </w:pPr>
            <w:proofErr w:type="spellStart"/>
            <w:r w:rsidRPr="00EE622A">
              <w:rPr>
                <w:sz w:val="18"/>
              </w:rPr>
              <w:t>Chrysen</w:t>
            </w:r>
            <w:proofErr w:type="spellEnd"/>
            <w:r w:rsidRPr="00EE622A">
              <w:rPr>
                <w:sz w:val="18"/>
              </w:rPr>
              <w:t xml:space="preserve"> (CHR)</w:t>
            </w:r>
          </w:p>
          <w:p w14:paraId="7CB6EFF4" w14:textId="77777777" w:rsidR="00557E43" w:rsidRPr="00EE622A" w:rsidRDefault="00557E43" w:rsidP="00557E43">
            <w:pPr>
              <w:rPr>
                <w:sz w:val="18"/>
              </w:rPr>
            </w:pPr>
            <w:r w:rsidRPr="00EE622A">
              <w:rPr>
                <w:sz w:val="18"/>
              </w:rPr>
              <w:t>Chrysene</w:t>
            </w:r>
          </w:p>
          <w:p w14:paraId="115C5A7C" w14:textId="02E262D7" w:rsidR="00B12C39" w:rsidRPr="004A7F1F" w:rsidRDefault="00B12C39" w:rsidP="00860AA3">
            <w:pPr>
              <w:pStyle w:val="StyleTabletextItalic"/>
              <w:jc w:val="left"/>
              <w:rPr>
                <w:i w:val="0"/>
                <w:iCs w:val="0"/>
                <w:sz w:val="18"/>
                <w:szCs w:val="18"/>
              </w:rPr>
            </w:pPr>
          </w:p>
        </w:tc>
      </w:tr>
    </w:tbl>
    <w:p w14:paraId="115C5A7E" w14:textId="77777777" w:rsidR="00B12C39" w:rsidRPr="004A7F1F" w:rsidRDefault="00B12C39" w:rsidP="00B12C39">
      <w:pPr>
        <w:widowControl/>
        <w:spacing w:after="180"/>
        <w:jc w:val="both"/>
        <w:rPr>
          <w:szCs w:val="24"/>
          <w:lang w:eastAsia="en-US"/>
        </w:rPr>
      </w:pPr>
    </w:p>
    <w:p w14:paraId="115C5A7F" w14:textId="77777777" w:rsidR="00B12C39" w:rsidRPr="004A7F1F" w:rsidRDefault="00B12C39" w:rsidP="00B12C39">
      <w:pPr>
        <w:widowControl/>
        <w:spacing w:after="180"/>
        <w:jc w:val="both"/>
        <w:rPr>
          <w:rStyle w:val="Strong"/>
          <w:bCs/>
        </w:rPr>
      </w:pPr>
      <w:r w:rsidRPr="004A7F1F">
        <w:rPr>
          <w:rStyle w:val="Strong"/>
          <w:bCs/>
        </w:rPr>
        <w:t>Structural formula:</w:t>
      </w:r>
    </w:p>
    <w:p w14:paraId="115C5A80" w14:textId="09157677" w:rsidR="00BB0C44" w:rsidRPr="004A7F1F" w:rsidRDefault="00E25235" w:rsidP="003B3C62">
      <w:pPr>
        <w:widowControl/>
        <w:spacing w:after="180"/>
        <w:jc w:val="center"/>
        <w:rPr>
          <w:rStyle w:val="Strong"/>
          <w:bCs/>
        </w:rPr>
      </w:pPr>
      <w:r w:rsidRPr="004A7F1F">
        <w:rPr>
          <w:b/>
          <w:noProof/>
          <w:lang w:eastAsia="en-GB"/>
        </w:rPr>
        <w:drawing>
          <wp:inline distT="0" distB="0" distL="0" distR="0" wp14:anchorId="6613081B" wp14:editId="5457689B">
            <wp:extent cx="2983231" cy="1781298"/>
            <wp:effectExtent l="0" t="0" r="7620" b="9525"/>
            <wp:docPr id="1" name="Grafik 1" descr="P:\Docs\PAK\Strukturen\Chrysene_200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s\PAK\Strukturen\Chrysene_200_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6252" cy="1783102"/>
                    </a:xfrm>
                    <a:prstGeom prst="rect">
                      <a:avLst/>
                    </a:prstGeom>
                    <a:noFill/>
                    <a:ln>
                      <a:noFill/>
                    </a:ln>
                  </pic:spPr>
                </pic:pic>
              </a:graphicData>
            </a:graphic>
          </wp:inline>
        </w:drawing>
      </w:r>
    </w:p>
    <w:p w14:paraId="115C5A83" w14:textId="77777777" w:rsidR="00B12C39" w:rsidRPr="006D360C" w:rsidRDefault="00BB6734" w:rsidP="00BB6734">
      <w:pPr>
        <w:pStyle w:val="Heading2"/>
      </w:pPr>
      <w:bookmarkStart w:id="90" w:name="_Toc341888505"/>
      <w:bookmarkStart w:id="91" w:name="_Toc342400359"/>
      <w:bookmarkStart w:id="92" w:name="_Toc354499570"/>
      <w:bookmarkStart w:id="93" w:name="_Toc357083643"/>
      <w:bookmarkStart w:id="94" w:name="_Toc357184192"/>
      <w:bookmarkStart w:id="95" w:name="_Toc357184428"/>
      <w:bookmarkStart w:id="96" w:name="_Toc357185230"/>
      <w:bookmarkStart w:id="97" w:name="_Toc357186078"/>
      <w:bookmarkStart w:id="98" w:name="_Toc357186227"/>
      <w:bookmarkStart w:id="99" w:name="_Toc357437513"/>
      <w:bookmarkStart w:id="100" w:name="_Toc357590786"/>
      <w:bookmarkStart w:id="101" w:name="_Toc357692818"/>
      <w:bookmarkStart w:id="102" w:name="_Toc365649645"/>
      <w:bookmarkStart w:id="103" w:name="_Toc365649794"/>
      <w:bookmarkStart w:id="104" w:name="_Toc366489846"/>
      <w:bookmarkStart w:id="105" w:name="_Toc418498551"/>
      <w:bookmarkStart w:id="106" w:name="_Toc418505994"/>
      <w:bookmarkStart w:id="107" w:name="_Toc491868889"/>
      <w:r w:rsidRPr="006D360C">
        <w:lastRenderedPageBreak/>
        <w:t xml:space="preserve">1.2 </w:t>
      </w:r>
      <w:r w:rsidR="00B12C39" w:rsidRPr="006D360C">
        <w:t>Composition of the substance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115C5A88" w14:textId="77777777" w:rsidR="00B12C39" w:rsidRPr="006D21A3" w:rsidRDefault="00B12C39" w:rsidP="00B12C39">
      <w:pPr>
        <w:pStyle w:val="PlainText"/>
        <w:jc w:val="both"/>
        <w:rPr>
          <w:i/>
          <w:szCs w:val="24"/>
        </w:rPr>
      </w:pPr>
    </w:p>
    <w:p w14:paraId="115C5A89" w14:textId="19058F99" w:rsidR="00B12C39" w:rsidRPr="00DC41FB" w:rsidRDefault="00B12C39" w:rsidP="003B1B52">
      <w:pPr>
        <w:widowControl/>
        <w:tabs>
          <w:tab w:val="left" w:pos="3261"/>
        </w:tabs>
        <w:spacing w:after="180"/>
        <w:jc w:val="both"/>
        <w:rPr>
          <w:rStyle w:val="Strong"/>
          <w:bCs/>
        </w:rPr>
      </w:pPr>
      <w:r w:rsidRPr="004A7F1F">
        <w:rPr>
          <w:rStyle w:val="Strong"/>
          <w:bCs/>
        </w:rPr>
        <w:t xml:space="preserve">Name: </w:t>
      </w:r>
      <w:r w:rsidR="00557E43" w:rsidRPr="00EE622A">
        <w:rPr>
          <w:rStyle w:val="Strong"/>
          <w:b w:val="0"/>
          <w:bCs/>
        </w:rPr>
        <w:t>chrysene</w:t>
      </w:r>
    </w:p>
    <w:p w14:paraId="115C5A8A" w14:textId="31CC1462" w:rsidR="00B12C39" w:rsidRPr="005B3405" w:rsidRDefault="00B12C39" w:rsidP="003B1B52">
      <w:pPr>
        <w:widowControl/>
        <w:tabs>
          <w:tab w:val="left" w:pos="3261"/>
        </w:tabs>
        <w:spacing w:after="180"/>
        <w:jc w:val="both"/>
        <w:rPr>
          <w:rStyle w:val="Strong"/>
          <w:bCs/>
        </w:rPr>
      </w:pPr>
      <w:r w:rsidRPr="004A7F1F">
        <w:rPr>
          <w:rStyle w:val="Strong"/>
          <w:bCs/>
        </w:rPr>
        <w:t xml:space="preserve">Description: </w:t>
      </w:r>
      <w:r w:rsidR="00557E43" w:rsidRPr="00F61FE3">
        <w:rPr>
          <w:rStyle w:val="Strong"/>
          <w:b w:val="0"/>
          <w:bCs/>
        </w:rPr>
        <w:t>Chrysene (CHR)</w:t>
      </w:r>
      <w:r w:rsidR="00B1276A" w:rsidRPr="00F61FE3">
        <w:rPr>
          <w:rStyle w:val="Strong"/>
          <w:b w:val="0"/>
          <w:bCs/>
        </w:rPr>
        <w:t xml:space="preserve"> belongs to the group of Polycyclic Aromatic Hydrocarbons (PAH</w:t>
      </w:r>
      <w:r w:rsidR="00C01F14" w:rsidRPr="00F61FE3">
        <w:rPr>
          <w:rStyle w:val="Strong"/>
          <w:b w:val="0"/>
          <w:bCs/>
        </w:rPr>
        <w:t>s</w:t>
      </w:r>
      <w:r w:rsidR="00B1276A" w:rsidRPr="00F61FE3">
        <w:rPr>
          <w:rStyle w:val="Strong"/>
          <w:b w:val="0"/>
          <w:bCs/>
        </w:rPr>
        <w:t xml:space="preserve">). </w:t>
      </w:r>
      <w:r w:rsidR="00557E43" w:rsidRPr="00F61FE3">
        <w:rPr>
          <w:rStyle w:val="Strong"/>
          <w:b w:val="0"/>
          <w:bCs/>
        </w:rPr>
        <w:t>CHR</w:t>
      </w:r>
      <w:r w:rsidR="00B1276A" w:rsidRPr="00F61FE3">
        <w:rPr>
          <w:rStyle w:val="Strong"/>
          <w:b w:val="0"/>
          <w:bCs/>
        </w:rPr>
        <w:t xml:space="preserve"> is not produced intentionally </w:t>
      </w:r>
      <w:r w:rsidR="00B94BF9" w:rsidRPr="00F61FE3">
        <w:rPr>
          <w:rStyle w:val="Strong"/>
          <w:b w:val="0"/>
          <w:bCs/>
        </w:rPr>
        <w:t xml:space="preserve">but </w:t>
      </w:r>
      <w:r w:rsidR="00B1276A" w:rsidRPr="00F61FE3">
        <w:rPr>
          <w:rStyle w:val="Strong"/>
          <w:b w:val="0"/>
          <w:bCs/>
        </w:rPr>
        <w:t xml:space="preserve">does occur as constituent in </w:t>
      </w:r>
      <w:r w:rsidR="00AF65C3" w:rsidRPr="00F61FE3">
        <w:rPr>
          <w:rStyle w:val="Strong"/>
          <w:b w:val="0"/>
          <w:bCs/>
        </w:rPr>
        <w:t>UVCB</w:t>
      </w:r>
      <w:r w:rsidR="000F5601" w:rsidRPr="00F61FE3">
        <w:rPr>
          <w:rStyle w:val="FootnoteReference"/>
          <w:rFonts w:ascii="Verdana" w:hAnsi="Verdana"/>
          <w:b/>
          <w:bCs/>
          <w:sz w:val="20"/>
          <w:lang w:val="fr-FR"/>
        </w:rPr>
        <w:footnoteReference w:id="2"/>
      </w:r>
      <w:r w:rsidR="00AF65C3" w:rsidRPr="00F61FE3">
        <w:rPr>
          <w:rStyle w:val="Strong"/>
          <w:b w:val="0"/>
          <w:bCs/>
        </w:rPr>
        <w:t xml:space="preserve"> </w:t>
      </w:r>
      <w:r w:rsidR="00C01F14" w:rsidRPr="00F61FE3">
        <w:rPr>
          <w:rStyle w:val="Strong"/>
          <w:b w:val="0"/>
          <w:bCs/>
        </w:rPr>
        <w:t xml:space="preserve">- often together with other PAHs - </w:t>
      </w:r>
      <w:r w:rsidR="00AF65C3" w:rsidRPr="00F61FE3">
        <w:rPr>
          <w:rStyle w:val="Strong"/>
          <w:b w:val="0"/>
          <w:bCs/>
        </w:rPr>
        <w:t xml:space="preserve">mainly derived from the coal and petroleum stream. The dossier addresses the substance </w:t>
      </w:r>
      <w:r w:rsidR="00BA25A5" w:rsidRPr="00F61FE3">
        <w:rPr>
          <w:rStyle w:val="Strong"/>
          <w:b w:val="0"/>
          <w:bCs/>
        </w:rPr>
        <w:t>CHR</w:t>
      </w:r>
      <w:r w:rsidR="00AF65C3" w:rsidRPr="00F61FE3">
        <w:rPr>
          <w:rStyle w:val="Strong"/>
          <w:b w:val="0"/>
          <w:bCs/>
        </w:rPr>
        <w:t xml:space="preserve"> as a substance itself and not in the context of its original occurrence </w:t>
      </w:r>
      <w:r w:rsidR="000F5601" w:rsidRPr="00F61FE3">
        <w:rPr>
          <w:rStyle w:val="Strong"/>
          <w:b w:val="0"/>
          <w:bCs/>
        </w:rPr>
        <w:t>in UVCB</w:t>
      </w:r>
      <w:r w:rsidR="00AF65C3" w:rsidRPr="00F61FE3">
        <w:rPr>
          <w:rStyle w:val="Strong"/>
          <w:b w:val="0"/>
          <w:bCs/>
        </w:rPr>
        <w:t>.</w:t>
      </w:r>
    </w:p>
    <w:p w14:paraId="115C5A8B" w14:textId="00770E74" w:rsidR="00B12C39" w:rsidRPr="004A7F1F" w:rsidRDefault="003B7B69" w:rsidP="00B12C39">
      <w:pPr>
        <w:widowControl/>
        <w:spacing w:after="180"/>
        <w:jc w:val="both"/>
        <w:rPr>
          <w:rStyle w:val="Strong"/>
          <w:b w:val="0"/>
          <w:bCs/>
        </w:rPr>
      </w:pPr>
      <w:r w:rsidRPr="004A7F1F">
        <w:rPr>
          <w:rStyle w:val="Strong"/>
          <w:bCs/>
        </w:rPr>
        <w:t>Substance type</w:t>
      </w:r>
      <w:r w:rsidR="00B12C39" w:rsidRPr="004A7F1F">
        <w:rPr>
          <w:rStyle w:val="Strong"/>
          <w:bCs/>
        </w:rPr>
        <w:t xml:space="preserve">: </w:t>
      </w:r>
      <w:r w:rsidRPr="004A7F1F">
        <w:rPr>
          <w:rStyle w:val="Strong"/>
          <w:b w:val="0"/>
          <w:bCs/>
        </w:rPr>
        <w:t>mono-constituent</w:t>
      </w:r>
    </w:p>
    <w:p w14:paraId="4DABBC0E" w14:textId="77777777" w:rsidR="005943A6" w:rsidRPr="004A7F1F" w:rsidRDefault="005943A6" w:rsidP="00B12C39">
      <w:pPr>
        <w:widowControl/>
        <w:spacing w:after="180"/>
        <w:jc w:val="both"/>
        <w:rPr>
          <w:rStyle w:val="Strong"/>
          <w:b w:val="0"/>
          <w:bCs/>
        </w:rPr>
      </w:pPr>
    </w:p>
    <w:p w14:paraId="505A4DC3" w14:textId="77777777" w:rsidR="005943A6" w:rsidRPr="004A7F1F" w:rsidRDefault="005943A6" w:rsidP="00B12C39">
      <w:pPr>
        <w:widowControl/>
        <w:spacing w:after="180"/>
        <w:jc w:val="both"/>
        <w:rPr>
          <w:rStyle w:val="Strong"/>
          <w:b w:val="0"/>
          <w:bCs/>
        </w:rPr>
      </w:pPr>
    </w:p>
    <w:p w14:paraId="3366022A" w14:textId="77777777" w:rsidR="005943A6" w:rsidRPr="004A7F1F" w:rsidRDefault="005943A6" w:rsidP="00B12C39">
      <w:pPr>
        <w:widowControl/>
        <w:spacing w:after="180"/>
        <w:jc w:val="both"/>
        <w:rPr>
          <w:rStyle w:val="Strong"/>
          <w:b w:val="0"/>
          <w:bCs/>
        </w:rPr>
      </w:pPr>
    </w:p>
    <w:p w14:paraId="6B6DD44E" w14:textId="77777777" w:rsidR="005943A6" w:rsidRPr="004A7F1F" w:rsidRDefault="005943A6" w:rsidP="00B12C39">
      <w:pPr>
        <w:widowControl/>
        <w:spacing w:after="180"/>
        <w:jc w:val="both"/>
        <w:rPr>
          <w:rStyle w:val="Strong"/>
          <w:b w:val="0"/>
          <w:bCs/>
        </w:rPr>
      </w:pPr>
    </w:p>
    <w:p w14:paraId="6F76A660" w14:textId="77777777" w:rsidR="005943A6" w:rsidRPr="004A7F1F" w:rsidRDefault="005943A6" w:rsidP="00B12C39">
      <w:pPr>
        <w:widowControl/>
        <w:spacing w:after="180"/>
        <w:jc w:val="both"/>
        <w:rPr>
          <w:rStyle w:val="Strong"/>
          <w:b w:val="0"/>
          <w:bCs/>
        </w:rPr>
      </w:pPr>
    </w:p>
    <w:p w14:paraId="35D99C40" w14:textId="77777777" w:rsidR="005943A6" w:rsidRPr="004A7F1F" w:rsidRDefault="005943A6" w:rsidP="00B12C39">
      <w:pPr>
        <w:widowControl/>
        <w:spacing w:after="180"/>
        <w:jc w:val="both"/>
        <w:rPr>
          <w:rStyle w:val="Strong"/>
          <w:b w:val="0"/>
          <w:bCs/>
        </w:rPr>
      </w:pPr>
    </w:p>
    <w:p w14:paraId="784C01F6" w14:textId="77777777" w:rsidR="005943A6" w:rsidRPr="004A7F1F" w:rsidRDefault="005943A6" w:rsidP="00B12C39">
      <w:pPr>
        <w:widowControl/>
        <w:spacing w:after="180"/>
        <w:jc w:val="both"/>
        <w:rPr>
          <w:rStyle w:val="Strong"/>
          <w:b w:val="0"/>
          <w:bCs/>
        </w:rPr>
      </w:pPr>
    </w:p>
    <w:p w14:paraId="16F43BD9" w14:textId="77777777" w:rsidR="005943A6" w:rsidRPr="004A7F1F" w:rsidRDefault="005943A6" w:rsidP="00B12C39">
      <w:pPr>
        <w:widowControl/>
        <w:spacing w:after="180"/>
        <w:jc w:val="both"/>
        <w:rPr>
          <w:rStyle w:val="Strong"/>
          <w:b w:val="0"/>
          <w:bCs/>
        </w:rPr>
      </w:pPr>
    </w:p>
    <w:p w14:paraId="32A8A283" w14:textId="77777777" w:rsidR="005943A6" w:rsidRPr="004A7F1F" w:rsidRDefault="005943A6" w:rsidP="00B12C39">
      <w:pPr>
        <w:widowControl/>
        <w:spacing w:after="180"/>
        <w:jc w:val="both"/>
        <w:rPr>
          <w:rStyle w:val="Strong"/>
          <w:b w:val="0"/>
          <w:bCs/>
        </w:rPr>
      </w:pPr>
    </w:p>
    <w:p w14:paraId="0A6F5BA7" w14:textId="77777777" w:rsidR="005943A6" w:rsidRPr="004A7F1F" w:rsidRDefault="005943A6" w:rsidP="00B12C39">
      <w:pPr>
        <w:widowControl/>
        <w:spacing w:after="180"/>
        <w:jc w:val="both"/>
        <w:rPr>
          <w:rStyle w:val="Strong"/>
          <w:b w:val="0"/>
          <w:bCs/>
        </w:rPr>
      </w:pPr>
    </w:p>
    <w:p w14:paraId="6D1BC3E5" w14:textId="77777777" w:rsidR="005943A6" w:rsidRPr="004A7F1F" w:rsidRDefault="005943A6" w:rsidP="00B12C39">
      <w:pPr>
        <w:widowControl/>
        <w:spacing w:after="180"/>
        <w:jc w:val="both"/>
        <w:rPr>
          <w:rStyle w:val="Strong"/>
          <w:b w:val="0"/>
          <w:bCs/>
        </w:rPr>
      </w:pPr>
    </w:p>
    <w:p w14:paraId="5D372B2A" w14:textId="77777777" w:rsidR="005943A6" w:rsidRPr="004A7F1F" w:rsidRDefault="005943A6" w:rsidP="00B12C39">
      <w:pPr>
        <w:widowControl/>
        <w:spacing w:after="180"/>
        <w:jc w:val="both"/>
        <w:rPr>
          <w:rStyle w:val="Strong"/>
          <w:b w:val="0"/>
          <w:bCs/>
        </w:rPr>
      </w:pPr>
    </w:p>
    <w:p w14:paraId="287FD794" w14:textId="77777777" w:rsidR="005943A6" w:rsidRPr="004A7F1F" w:rsidRDefault="005943A6" w:rsidP="00B12C39">
      <w:pPr>
        <w:widowControl/>
        <w:spacing w:after="180"/>
        <w:jc w:val="both"/>
        <w:rPr>
          <w:rStyle w:val="Strong"/>
          <w:b w:val="0"/>
          <w:bCs/>
        </w:rPr>
      </w:pPr>
    </w:p>
    <w:p w14:paraId="4B7E2321" w14:textId="77777777" w:rsidR="005943A6" w:rsidRPr="004A7F1F" w:rsidRDefault="005943A6" w:rsidP="00B12C39">
      <w:pPr>
        <w:widowControl/>
        <w:spacing w:after="180"/>
        <w:jc w:val="both"/>
        <w:rPr>
          <w:rStyle w:val="Strong"/>
          <w:b w:val="0"/>
          <w:bCs/>
        </w:rPr>
      </w:pPr>
    </w:p>
    <w:p w14:paraId="41168513" w14:textId="77777777" w:rsidR="005943A6" w:rsidRPr="004A7F1F" w:rsidRDefault="005943A6" w:rsidP="00B12C39">
      <w:pPr>
        <w:widowControl/>
        <w:spacing w:after="180"/>
        <w:jc w:val="both"/>
        <w:rPr>
          <w:rStyle w:val="Strong"/>
          <w:bCs/>
        </w:rPr>
      </w:pPr>
    </w:p>
    <w:p w14:paraId="115C5B4E" w14:textId="0CEA6D0B" w:rsidR="00B12C39" w:rsidRPr="004A7F1F" w:rsidRDefault="00BB6734" w:rsidP="00C748EF">
      <w:pPr>
        <w:pStyle w:val="Heading2"/>
      </w:pPr>
      <w:bookmarkStart w:id="108" w:name="_Toc341888506"/>
      <w:bookmarkStart w:id="109" w:name="_Toc342400360"/>
      <w:bookmarkStart w:id="110" w:name="_Toc354499571"/>
      <w:bookmarkStart w:id="111" w:name="_Toc357083646"/>
      <w:bookmarkStart w:id="112" w:name="_Toc357184195"/>
      <w:bookmarkStart w:id="113" w:name="_Toc357184431"/>
      <w:bookmarkStart w:id="114" w:name="_Toc357185233"/>
      <w:bookmarkStart w:id="115" w:name="_Toc357186081"/>
      <w:bookmarkStart w:id="116" w:name="_Toc357186230"/>
      <w:bookmarkStart w:id="117" w:name="_Toc357437516"/>
      <w:bookmarkStart w:id="118" w:name="_Toc357590789"/>
      <w:bookmarkStart w:id="119" w:name="_Toc357692821"/>
      <w:bookmarkStart w:id="120" w:name="_Toc365649648"/>
      <w:bookmarkStart w:id="121" w:name="_Toc365649797"/>
      <w:bookmarkStart w:id="122" w:name="_Toc366489849"/>
      <w:bookmarkStart w:id="123" w:name="_Toc418498554"/>
      <w:bookmarkStart w:id="124" w:name="_Toc418505997"/>
      <w:bookmarkStart w:id="125" w:name="_Toc491868890"/>
      <w:r w:rsidRPr="00DC41FB">
        <w:lastRenderedPageBreak/>
        <w:t>1.</w:t>
      </w:r>
      <w:r w:rsidR="00272A9A" w:rsidRPr="004A7F1F">
        <w:t>3</w:t>
      </w:r>
      <w:r w:rsidRPr="004A7F1F">
        <w:t xml:space="preserve"> </w:t>
      </w:r>
      <w:r w:rsidR="00B12C39" w:rsidRPr="004A7F1F">
        <w:t>Physicochemical properties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115C5B57" w14:textId="420C9BAE" w:rsidR="00B12C39" w:rsidRPr="004A7F1F" w:rsidRDefault="00FC5D4E" w:rsidP="00FC5D4E">
      <w:pPr>
        <w:pStyle w:val="Caption"/>
        <w:rPr>
          <w:b/>
          <w:sz w:val="18"/>
          <w:szCs w:val="18"/>
        </w:rPr>
      </w:pPr>
      <w:bookmarkStart w:id="126" w:name="_Toc297618127"/>
      <w:bookmarkStart w:id="127" w:name="_Toc316637461"/>
      <w:bookmarkStart w:id="128" w:name="_Toc341889785"/>
      <w:bookmarkStart w:id="129" w:name="_Toc357184846"/>
      <w:bookmarkStart w:id="130" w:name="_Toc359563697"/>
      <w:bookmarkStart w:id="131" w:name="_Toc492027481"/>
      <w:r w:rsidRPr="004A7F1F">
        <w:rPr>
          <w:b/>
          <w:sz w:val="18"/>
          <w:szCs w:val="18"/>
        </w:rPr>
        <w:t xml:space="preserve">Table </w:t>
      </w:r>
      <w:r w:rsidR="000721AD" w:rsidRPr="002567E3">
        <w:rPr>
          <w:b/>
          <w:sz w:val="18"/>
          <w:szCs w:val="18"/>
        </w:rPr>
        <w:fldChar w:fldCharType="begin"/>
      </w:r>
      <w:r w:rsidRPr="004A7F1F">
        <w:rPr>
          <w:b/>
          <w:sz w:val="18"/>
          <w:szCs w:val="18"/>
        </w:rPr>
        <w:instrText xml:space="preserve"> SEQ Table \* ARABIC </w:instrText>
      </w:r>
      <w:r w:rsidR="000721AD" w:rsidRPr="002567E3">
        <w:rPr>
          <w:b/>
          <w:sz w:val="18"/>
          <w:szCs w:val="18"/>
        </w:rPr>
        <w:fldChar w:fldCharType="separate"/>
      </w:r>
      <w:r w:rsidR="009D4B0B">
        <w:rPr>
          <w:b/>
          <w:noProof/>
          <w:sz w:val="18"/>
          <w:szCs w:val="18"/>
        </w:rPr>
        <w:t>2</w:t>
      </w:r>
      <w:r w:rsidR="000721AD" w:rsidRPr="002567E3">
        <w:rPr>
          <w:b/>
          <w:sz w:val="18"/>
          <w:szCs w:val="18"/>
        </w:rPr>
        <w:fldChar w:fldCharType="end"/>
      </w:r>
      <w:r w:rsidR="00BA03FB" w:rsidRPr="004A7F1F">
        <w:rPr>
          <w:b/>
          <w:sz w:val="18"/>
          <w:szCs w:val="18"/>
        </w:rPr>
        <w:t>:</w:t>
      </w:r>
      <w:r w:rsidR="00B12C39" w:rsidRPr="004A7F1F">
        <w:rPr>
          <w:b/>
          <w:sz w:val="18"/>
          <w:szCs w:val="18"/>
        </w:rPr>
        <w:t xml:space="preserve"> Overview of physicochemical properties</w:t>
      </w:r>
      <w:bookmarkEnd w:id="126"/>
      <w:bookmarkEnd w:id="127"/>
      <w:bookmarkEnd w:id="128"/>
      <w:bookmarkEnd w:id="129"/>
      <w:bookmarkEnd w:id="130"/>
      <w:bookmarkEnd w:id="1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324"/>
        <w:gridCol w:w="2058"/>
        <w:gridCol w:w="2282"/>
      </w:tblGrid>
      <w:tr w:rsidR="00AF09C4" w:rsidRPr="004A7F1F" w14:paraId="115C5B5C" w14:textId="77777777" w:rsidTr="00816268">
        <w:tc>
          <w:tcPr>
            <w:tcW w:w="2322" w:type="dxa"/>
          </w:tcPr>
          <w:p w14:paraId="115C5B58" w14:textId="77777777" w:rsidR="00AF09C4" w:rsidRPr="004A7F1F" w:rsidRDefault="00AF09C4" w:rsidP="00B12C39">
            <w:pPr>
              <w:pStyle w:val="TableColumnHeader"/>
              <w:rPr>
                <w:sz w:val="18"/>
                <w:szCs w:val="18"/>
              </w:rPr>
            </w:pPr>
            <w:r w:rsidRPr="004A7F1F">
              <w:rPr>
                <w:sz w:val="18"/>
                <w:szCs w:val="18"/>
              </w:rPr>
              <w:t>Property</w:t>
            </w:r>
          </w:p>
        </w:tc>
        <w:tc>
          <w:tcPr>
            <w:tcW w:w="2612" w:type="dxa"/>
          </w:tcPr>
          <w:p w14:paraId="115C5B59" w14:textId="77777777" w:rsidR="00AF09C4" w:rsidRPr="004A7F1F" w:rsidRDefault="00AF09C4" w:rsidP="00B12C39">
            <w:pPr>
              <w:pStyle w:val="TableColumnHeader"/>
              <w:rPr>
                <w:sz w:val="18"/>
                <w:szCs w:val="18"/>
              </w:rPr>
            </w:pPr>
            <w:r w:rsidRPr="004A7F1F">
              <w:rPr>
                <w:sz w:val="18"/>
                <w:szCs w:val="18"/>
              </w:rPr>
              <w:t>Description of key information</w:t>
            </w:r>
          </w:p>
        </w:tc>
        <w:tc>
          <w:tcPr>
            <w:tcW w:w="2257" w:type="dxa"/>
          </w:tcPr>
          <w:p w14:paraId="115C5B5A" w14:textId="77777777" w:rsidR="00AF09C4" w:rsidRPr="004A7F1F" w:rsidRDefault="00AF09C4" w:rsidP="00B12C39">
            <w:pPr>
              <w:pStyle w:val="TableColumnHeader"/>
              <w:rPr>
                <w:sz w:val="18"/>
                <w:szCs w:val="18"/>
              </w:rPr>
            </w:pPr>
            <w:r w:rsidRPr="004A7F1F">
              <w:rPr>
                <w:sz w:val="18"/>
                <w:szCs w:val="18"/>
              </w:rPr>
              <w:t>Value</w:t>
            </w:r>
            <w:r w:rsidR="009B2360" w:rsidRPr="004A7F1F">
              <w:rPr>
                <w:sz w:val="18"/>
                <w:szCs w:val="18"/>
              </w:rPr>
              <w:t xml:space="preserve"> [Unit]</w:t>
            </w:r>
          </w:p>
        </w:tc>
        <w:tc>
          <w:tcPr>
            <w:tcW w:w="2330" w:type="dxa"/>
          </w:tcPr>
          <w:p w14:paraId="115C5B5B" w14:textId="77777777" w:rsidR="00AF09C4" w:rsidRPr="004A7F1F" w:rsidRDefault="00AF09C4" w:rsidP="00B12C39">
            <w:pPr>
              <w:pStyle w:val="TableColumnHeader"/>
              <w:rPr>
                <w:sz w:val="18"/>
                <w:szCs w:val="18"/>
              </w:rPr>
            </w:pPr>
            <w:r w:rsidRPr="004A7F1F">
              <w:rPr>
                <w:sz w:val="18"/>
                <w:szCs w:val="18"/>
              </w:rPr>
              <w:t>Reference/source of information</w:t>
            </w:r>
          </w:p>
        </w:tc>
      </w:tr>
      <w:tr w:rsidR="00AF09C4" w:rsidRPr="004A7F1F" w14:paraId="115C5B61" w14:textId="77777777" w:rsidTr="00816268">
        <w:tc>
          <w:tcPr>
            <w:tcW w:w="2322" w:type="dxa"/>
          </w:tcPr>
          <w:p w14:paraId="115C5B5D" w14:textId="77777777" w:rsidR="00AF09C4" w:rsidRPr="004A7F1F" w:rsidRDefault="00AF09C4" w:rsidP="00EE43A1">
            <w:pPr>
              <w:pStyle w:val="TableRowHeader"/>
              <w:jc w:val="left"/>
              <w:rPr>
                <w:sz w:val="18"/>
                <w:szCs w:val="18"/>
              </w:rPr>
            </w:pPr>
            <w:r w:rsidRPr="004A7F1F">
              <w:rPr>
                <w:sz w:val="18"/>
                <w:szCs w:val="18"/>
              </w:rPr>
              <w:t xml:space="preserve">Physical state at 20°C and 101.3 </w:t>
            </w:r>
            <w:proofErr w:type="spellStart"/>
            <w:r w:rsidRPr="004A7F1F">
              <w:rPr>
                <w:sz w:val="18"/>
                <w:szCs w:val="18"/>
              </w:rPr>
              <w:t>kPa</w:t>
            </w:r>
            <w:proofErr w:type="spellEnd"/>
          </w:p>
        </w:tc>
        <w:tc>
          <w:tcPr>
            <w:tcW w:w="2612" w:type="dxa"/>
          </w:tcPr>
          <w:p w14:paraId="115C5B5E" w14:textId="0D8ADE27" w:rsidR="00AF09C4" w:rsidRPr="004A7F1F" w:rsidRDefault="00AF09C4" w:rsidP="00EE43A1">
            <w:pPr>
              <w:pStyle w:val="StyleTabletextItalic"/>
              <w:jc w:val="left"/>
              <w:rPr>
                <w:sz w:val="18"/>
                <w:szCs w:val="18"/>
              </w:rPr>
            </w:pPr>
          </w:p>
        </w:tc>
        <w:tc>
          <w:tcPr>
            <w:tcW w:w="2257" w:type="dxa"/>
          </w:tcPr>
          <w:p w14:paraId="115C5B5F" w14:textId="2379365E" w:rsidR="00AF09C4" w:rsidRPr="004A7F1F" w:rsidRDefault="00913DA7" w:rsidP="00EE43A1">
            <w:pPr>
              <w:pStyle w:val="StyleTabletextItalic"/>
              <w:jc w:val="left"/>
              <w:rPr>
                <w:sz w:val="18"/>
                <w:szCs w:val="18"/>
              </w:rPr>
            </w:pPr>
            <w:r w:rsidRPr="004A7F1F">
              <w:rPr>
                <w:sz w:val="18"/>
                <w:szCs w:val="18"/>
              </w:rPr>
              <w:t>solid</w:t>
            </w:r>
          </w:p>
        </w:tc>
        <w:tc>
          <w:tcPr>
            <w:tcW w:w="2330" w:type="dxa"/>
          </w:tcPr>
          <w:p w14:paraId="115C5B60" w14:textId="73A181CB" w:rsidR="00AF09C4" w:rsidRPr="004A7F1F" w:rsidRDefault="00913DA7">
            <w:pPr>
              <w:pStyle w:val="StyleTabletextItalic"/>
              <w:jc w:val="left"/>
              <w:rPr>
                <w:sz w:val="18"/>
                <w:szCs w:val="18"/>
              </w:rPr>
            </w:pPr>
            <w:r w:rsidRPr="004A7F1F">
              <w:rPr>
                <w:sz w:val="18"/>
                <w:szCs w:val="18"/>
              </w:rPr>
              <w:t>GSBL database, accessed at Mar-23-2017</w:t>
            </w:r>
          </w:p>
        </w:tc>
      </w:tr>
      <w:tr w:rsidR="00AF09C4" w:rsidRPr="004A7F1F" w14:paraId="115C5B66" w14:textId="77777777" w:rsidTr="00816268">
        <w:tc>
          <w:tcPr>
            <w:tcW w:w="2322" w:type="dxa"/>
          </w:tcPr>
          <w:p w14:paraId="115C5B62" w14:textId="77777777" w:rsidR="00AF09C4" w:rsidRPr="004A7F1F" w:rsidRDefault="00AF09C4" w:rsidP="00EE43A1">
            <w:pPr>
              <w:pStyle w:val="TableRowHeader"/>
              <w:jc w:val="left"/>
              <w:rPr>
                <w:sz w:val="18"/>
                <w:szCs w:val="18"/>
              </w:rPr>
            </w:pPr>
            <w:r w:rsidRPr="004A7F1F">
              <w:rPr>
                <w:sz w:val="18"/>
                <w:szCs w:val="18"/>
              </w:rPr>
              <w:t>Melting/freezing point</w:t>
            </w:r>
          </w:p>
        </w:tc>
        <w:tc>
          <w:tcPr>
            <w:tcW w:w="2612" w:type="dxa"/>
          </w:tcPr>
          <w:p w14:paraId="115C5B63" w14:textId="1012678A" w:rsidR="00AF09C4" w:rsidRPr="004A7F1F" w:rsidRDefault="00AF09C4" w:rsidP="00EE43A1">
            <w:pPr>
              <w:pStyle w:val="StyleTabletextItalic"/>
              <w:jc w:val="left"/>
              <w:rPr>
                <w:sz w:val="18"/>
                <w:szCs w:val="18"/>
              </w:rPr>
            </w:pPr>
          </w:p>
        </w:tc>
        <w:tc>
          <w:tcPr>
            <w:tcW w:w="2257" w:type="dxa"/>
          </w:tcPr>
          <w:p w14:paraId="115C5B64" w14:textId="2D1AD899" w:rsidR="00AF09C4" w:rsidRPr="004A7F1F" w:rsidRDefault="00127B6A" w:rsidP="00127B6A">
            <w:pPr>
              <w:pStyle w:val="StyleTabletextItalic"/>
              <w:jc w:val="left"/>
              <w:rPr>
                <w:sz w:val="18"/>
                <w:szCs w:val="18"/>
              </w:rPr>
            </w:pPr>
            <w:r w:rsidRPr="004A7F1F">
              <w:rPr>
                <w:sz w:val="18"/>
                <w:szCs w:val="18"/>
              </w:rPr>
              <w:t>255.5</w:t>
            </w:r>
            <w:r w:rsidR="00816268" w:rsidRPr="004A7F1F">
              <w:rPr>
                <w:sz w:val="18"/>
                <w:szCs w:val="18"/>
              </w:rPr>
              <w:t>°C</w:t>
            </w:r>
          </w:p>
        </w:tc>
        <w:tc>
          <w:tcPr>
            <w:tcW w:w="2330" w:type="dxa"/>
          </w:tcPr>
          <w:p w14:paraId="115C5B65" w14:textId="528C0503" w:rsidR="00AF09C4" w:rsidRPr="004A7F1F" w:rsidRDefault="00263C82" w:rsidP="00EE43A1">
            <w:pPr>
              <w:pStyle w:val="StyleTabletextItalic"/>
              <w:jc w:val="left"/>
              <w:rPr>
                <w:i w:val="0"/>
                <w:sz w:val="18"/>
                <w:szCs w:val="18"/>
              </w:rPr>
            </w:pPr>
            <w:r w:rsidRPr="004A7F1F">
              <w:rPr>
                <w:i w:val="0"/>
                <w:sz w:val="18"/>
                <w:szCs w:val="18"/>
              </w:rPr>
              <w:t>Mackay, 2006</w:t>
            </w:r>
          </w:p>
        </w:tc>
      </w:tr>
      <w:tr w:rsidR="00816268" w:rsidRPr="004A7F1F" w14:paraId="115C5B6B" w14:textId="77777777" w:rsidTr="00816268">
        <w:tc>
          <w:tcPr>
            <w:tcW w:w="2322" w:type="dxa"/>
          </w:tcPr>
          <w:p w14:paraId="115C5B67" w14:textId="77777777" w:rsidR="00816268" w:rsidRPr="004A7F1F" w:rsidRDefault="00816268" w:rsidP="00816268">
            <w:pPr>
              <w:pStyle w:val="TableRowHeader"/>
              <w:jc w:val="left"/>
              <w:rPr>
                <w:sz w:val="18"/>
                <w:szCs w:val="18"/>
              </w:rPr>
            </w:pPr>
            <w:r w:rsidRPr="004A7F1F">
              <w:rPr>
                <w:sz w:val="18"/>
                <w:szCs w:val="18"/>
              </w:rPr>
              <w:t>Boiling point</w:t>
            </w:r>
          </w:p>
        </w:tc>
        <w:tc>
          <w:tcPr>
            <w:tcW w:w="2612" w:type="dxa"/>
          </w:tcPr>
          <w:p w14:paraId="115C5B68" w14:textId="79F439A6" w:rsidR="00816268" w:rsidRPr="004A7F1F" w:rsidRDefault="00816268" w:rsidP="00816268">
            <w:pPr>
              <w:pStyle w:val="StyleTabletextItalic"/>
              <w:jc w:val="left"/>
              <w:rPr>
                <w:sz w:val="18"/>
                <w:szCs w:val="18"/>
              </w:rPr>
            </w:pPr>
          </w:p>
        </w:tc>
        <w:tc>
          <w:tcPr>
            <w:tcW w:w="2257" w:type="dxa"/>
          </w:tcPr>
          <w:p w14:paraId="115C5B69" w14:textId="29548DDE" w:rsidR="00816268" w:rsidRPr="004A7F1F" w:rsidRDefault="00816268" w:rsidP="00127B6A">
            <w:pPr>
              <w:pStyle w:val="StyleTabletextItalic"/>
              <w:jc w:val="left"/>
              <w:rPr>
                <w:sz w:val="18"/>
                <w:szCs w:val="18"/>
              </w:rPr>
            </w:pPr>
            <w:r w:rsidRPr="004A7F1F">
              <w:rPr>
                <w:sz w:val="18"/>
                <w:szCs w:val="18"/>
              </w:rPr>
              <w:t>4</w:t>
            </w:r>
            <w:r w:rsidR="00127B6A" w:rsidRPr="004A7F1F">
              <w:rPr>
                <w:sz w:val="18"/>
                <w:szCs w:val="18"/>
              </w:rPr>
              <w:t>48</w:t>
            </w:r>
            <w:r w:rsidRPr="004A7F1F">
              <w:rPr>
                <w:sz w:val="18"/>
                <w:szCs w:val="18"/>
              </w:rPr>
              <w:t xml:space="preserve"> °C</w:t>
            </w:r>
          </w:p>
        </w:tc>
        <w:tc>
          <w:tcPr>
            <w:tcW w:w="2330" w:type="dxa"/>
          </w:tcPr>
          <w:p w14:paraId="115C5B6A" w14:textId="1980603F" w:rsidR="00816268" w:rsidRPr="004A7F1F" w:rsidRDefault="00816268" w:rsidP="00816268">
            <w:pPr>
              <w:pStyle w:val="StyleTabletextItalic"/>
              <w:jc w:val="left"/>
              <w:rPr>
                <w:i w:val="0"/>
                <w:sz w:val="18"/>
                <w:szCs w:val="18"/>
              </w:rPr>
            </w:pPr>
            <w:r w:rsidRPr="004A7F1F">
              <w:rPr>
                <w:i w:val="0"/>
                <w:sz w:val="18"/>
                <w:szCs w:val="18"/>
              </w:rPr>
              <w:t>Mackay, 2006</w:t>
            </w:r>
          </w:p>
        </w:tc>
      </w:tr>
      <w:tr w:rsidR="00D9065F" w:rsidRPr="004A7F1F" w14:paraId="115C5B70" w14:textId="77777777" w:rsidTr="00816268">
        <w:tc>
          <w:tcPr>
            <w:tcW w:w="2322" w:type="dxa"/>
          </w:tcPr>
          <w:p w14:paraId="115C5B6C" w14:textId="77777777" w:rsidR="00D9065F" w:rsidRPr="004A7F1F" w:rsidRDefault="00D9065F" w:rsidP="00D9065F">
            <w:pPr>
              <w:pStyle w:val="TableRowHeader"/>
              <w:jc w:val="left"/>
              <w:rPr>
                <w:sz w:val="18"/>
                <w:szCs w:val="18"/>
              </w:rPr>
            </w:pPr>
            <w:r w:rsidRPr="004A7F1F">
              <w:rPr>
                <w:sz w:val="18"/>
                <w:szCs w:val="18"/>
              </w:rPr>
              <w:t xml:space="preserve">Vapour pressure </w:t>
            </w:r>
          </w:p>
        </w:tc>
        <w:tc>
          <w:tcPr>
            <w:tcW w:w="2612" w:type="dxa"/>
          </w:tcPr>
          <w:p w14:paraId="115C5B6D" w14:textId="2BD33B2B" w:rsidR="00D9065F" w:rsidRPr="004A7F1F" w:rsidRDefault="008F7D9F">
            <w:pPr>
              <w:pStyle w:val="StyleTabletextItalic"/>
              <w:jc w:val="left"/>
              <w:rPr>
                <w:sz w:val="18"/>
                <w:szCs w:val="18"/>
              </w:rPr>
            </w:pPr>
            <w:r w:rsidRPr="004A7F1F">
              <w:rPr>
                <w:i w:val="0"/>
                <w:sz w:val="18"/>
                <w:szCs w:val="18"/>
              </w:rPr>
              <w:t>reported v</w:t>
            </w:r>
            <w:r w:rsidR="00D9065F" w:rsidRPr="004A7F1F">
              <w:rPr>
                <w:i w:val="0"/>
                <w:sz w:val="18"/>
                <w:szCs w:val="18"/>
              </w:rPr>
              <w:t xml:space="preserve">apour pressure values are </w:t>
            </w:r>
            <w:r w:rsidRPr="004A7F1F">
              <w:rPr>
                <w:i w:val="0"/>
                <w:sz w:val="18"/>
                <w:szCs w:val="18"/>
              </w:rPr>
              <w:t>within the range between of the two indicated values (3</w:t>
            </w:r>
            <w:r w:rsidRPr="004A7F1F">
              <w:rPr>
                <w:i w:val="0"/>
                <w:sz w:val="18"/>
                <w:szCs w:val="18"/>
                <w:vertAlign w:val="superscript"/>
              </w:rPr>
              <w:t>rd</w:t>
            </w:r>
            <w:r w:rsidRPr="004A7F1F">
              <w:rPr>
                <w:i w:val="0"/>
                <w:sz w:val="18"/>
                <w:szCs w:val="18"/>
              </w:rPr>
              <w:t xml:space="preserve"> column)</w:t>
            </w:r>
          </w:p>
        </w:tc>
        <w:tc>
          <w:tcPr>
            <w:tcW w:w="2257" w:type="dxa"/>
          </w:tcPr>
          <w:p w14:paraId="028EB662" w14:textId="0CB40546" w:rsidR="00D9065F" w:rsidRPr="004A7F1F" w:rsidRDefault="006C3749">
            <w:pPr>
              <w:pStyle w:val="StyleTabletextItalic"/>
              <w:jc w:val="left"/>
              <w:rPr>
                <w:i w:val="0"/>
                <w:sz w:val="18"/>
                <w:szCs w:val="18"/>
              </w:rPr>
            </w:pPr>
            <w:r w:rsidRPr="004A7F1F">
              <w:rPr>
                <w:i w:val="0"/>
                <w:sz w:val="18"/>
                <w:szCs w:val="18"/>
              </w:rPr>
              <w:t>8.4</w:t>
            </w:r>
            <w:r w:rsidR="00D9065F" w:rsidRPr="004A7F1F">
              <w:rPr>
                <w:i w:val="0"/>
                <w:sz w:val="18"/>
                <w:szCs w:val="18"/>
              </w:rPr>
              <w:t xml:space="preserve"> x 10</w:t>
            </w:r>
            <w:r w:rsidR="00D9065F" w:rsidRPr="004A7F1F">
              <w:rPr>
                <w:i w:val="0"/>
                <w:sz w:val="18"/>
                <w:szCs w:val="18"/>
                <w:vertAlign w:val="superscript"/>
              </w:rPr>
              <w:t>-7</w:t>
            </w:r>
            <w:r w:rsidR="00D9065F" w:rsidRPr="004A7F1F">
              <w:rPr>
                <w:i w:val="0"/>
                <w:sz w:val="18"/>
                <w:szCs w:val="18"/>
              </w:rPr>
              <w:t xml:space="preserve"> Pa at </w:t>
            </w:r>
            <w:r w:rsidRPr="004A7F1F">
              <w:rPr>
                <w:i w:val="0"/>
                <w:sz w:val="18"/>
                <w:szCs w:val="18"/>
              </w:rPr>
              <w:t>25</w:t>
            </w:r>
            <w:r w:rsidR="00D9065F" w:rsidRPr="004A7F1F">
              <w:rPr>
                <w:i w:val="0"/>
                <w:sz w:val="18"/>
                <w:szCs w:val="18"/>
              </w:rPr>
              <w:t xml:space="preserve">°C (effusion method) </w:t>
            </w:r>
          </w:p>
          <w:p w14:paraId="58D414CC" w14:textId="77777777" w:rsidR="008F7D9F" w:rsidRPr="004A7F1F" w:rsidRDefault="008F7D9F">
            <w:pPr>
              <w:pStyle w:val="StyleTabletextItalic"/>
              <w:jc w:val="left"/>
              <w:rPr>
                <w:i w:val="0"/>
                <w:sz w:val="18"/>
                <w:szCs w:val="18"/>
              </w:rPr>
            </w:pPr>
          </w:p>
          <w:p w14:paraId="115C5B6E" w14:textId="616B703C" w:rsidR="00D9065F" w:rsidRPr="004A7F1F" w:rsidRDefault="00D9065F" w:rsidP="006C3749">
            <w:pPr>
              <w:pStyle w:val="StyleTabletextItalic"/>
              <w:jc w:val="left"/>
              <w:rPr>
                <w:i w:val="0"/>
                <w:sz w:val="18"/>
                <w:szCs w:val="18"/>
              </w:rPr>
            </w:pPr>
            <w:r w:rsidRPr="004A7F1F">
              <w:rPr>
                <w:i w:val="0"/>
                <w:sz w:val="18"/>
                <w:szCs w:val="18"/>
              </w:rPr>
              <w:t>1.</w:t>
            </w:r>
            <w:r w:rsidR="006C3749" w:rsidRPr="004A7F1F">
              <w:rPr>
                <w:i w:val="0"/>
                <w:sz w:val="18"/>
                <w:szCs w:val="18"/>
              </w:rPr>
              <w:t>7</w:t>
            </w:r>
            <w:r w:rsidRPr="004A7F1F">
              <w:rPr>
                <w:i w:val="0"/>
                <w:sz w:val="18"/>
                <w:szCs w:val="18"/>
              </w:rPr>
              <w:t xml:space="preserve"> x10</w:t>
            </w:r>
            <w:r w:rsidRPr="004A7F1F">
              <w:rPr>
                <w:i w:val="0"/>
                <w:sz w:val="18"/>
                <w:szCs w:val="18"/>
                <w:vertAlign w:val="superscript"/>
              </w:rPr>
              <w:t>-</w:t>
            </w:r>
            <w:r w:rsidR="006C3749" w:rsidRPr="004A7F1F">
              <w:rPr>
                <w:i w:val="0"/>
                <w:sz w:val="18"/>
                <w:szCs w:val="18"/>
                <w:vertAlign w:val="superscript"/>
              </w:rPr>
              <w:t>4</w:t>
            </w:r>
            <w:r w:rsidRPr="004A7F1F">
              <w:rPr>
                <w:i w:val="0"/>
                <w:sz w:val="18"/>
                <w:szCs w:val="18"/>
              </w:rPr>
              <w:t xml:space="preserve"> Pa at 2</w:t>
            </w:r>
            <w:r w:rsidR="006C3749" w:rsidRPr="004A7F1F">
              <w:rPr>
                <w:i w:val="0"/>
                <w:sz w:val="18"/>
                <w:szCs w:val="18"/>
              </w:rPr>
              <w:t>0</w:t>
            </w:r>
            <w:r w:rsidRPr="004A7F1F">
              <w:rPr>
                <w:i w:val="0"/>
                <w:sz w:val="18"/>
                <w:szCs w:val="18"/>
              </w:rPr>
              <w:t>°C (</w:t>
            </w:r>
            <w:proofErr w:type="spellStart"/>
            <w:r w:rsidR="006C3749" w:rsidRPr="004A7F1F">
              <w:rPr>
                <w:i w:val="0"/>
                <w:sz w:val="18"/>
                <w:szCs w:val="18"/>
              </w:rPr>
              <w:t>supercooled</w:t>
            </w:r>
            <w:proofErr w:type="spellEnd"/>
            <w:r w:rsidR="006C3749" w:rsidRPr="004A7F1F">
              <w:rPr>
                <w:i w:val="0"/>
                <w:sz w:val="18"/>
                <w:szCs w:val="18"/>
              </w:rPr>
              <w:t xml:space="preserve"> liquid P</w:t>
            </w:r>
            <w:r w:rsidR="006C3749" w:rsidRPr="004A7F1F">
              <w:rPr>
                <w:i w:val="0"/>
                <w:sz w:val="18"/>
                <w:szCs w:val="18"/>
                <w:vertAlign w:val="subscript"/>
              </w:rPr>
              <w:t>L</w:t>
            </w:r>
            <w:r w:rsidRPr="004A7F1F">
              <w:rPr>
                <w:i w:val="0"/>
                <w:sz w:val="18"/>
                <w:szCs w:val="18"/>
              </w:rPr>
              <w:t xml:space="preserve">) </w:t>
            </w:r>
          </w:p>
        </w:tc>
        <w:tc>
          <w:tcPr>
            <w:tcW w:w="2330" w:type="dxa"/>
          </w:tcPr>
          <w:p w14:paraId="115C5B6F" w14:textId="44A7DB51" w:rsidR="00D9065F" w:rsidRPr="004A7F1F" w:rsidRDefault="00D9065F" w:rsidP="00D9065F">
            <w:pPr>
              <w:pStyle w:val="StyleTabletextItalic"/>
              <w:jc w:val="left"/>
              <w:rPr>
                <w:i w:val="0"/>
                <w:sz w:val="18"/>
                <w:szCs w:val="18"/>
              </w:rPr>
            </w:pPr>
            <w:r w:rsidRPr="004A7F1F">
              <w:rPr>
                <w:i w:val="0"/>
                <w:sz w:val="18"/>
                <w:szCs w:val="18"/>
              </w:rPr>
              <w:t>Mackay, 2006</w:t>
            </w:r>
          </w:p>
        </w:tc>
      </w:tr>
      <w:tr w:rsidR="008F7D9F" w:rsidRPr="004A7F1F" w14:paraId="115C5B75" w14:textId="77777777" w:rsidTr="00816268">
        <w:tc>
          <w:tcPr>
            <w:tcW w:w="2322" w:type="dxa"/>
          </w:tcPr>
          <w:p w14:paraId="115C5B71" w14:textId="77777777" w:rsidR="008F7D9F" w:rsidRPr="004A7F1F" w:rsidRDefault="008F7D9F" w:rsidP="008F7D9F">
            <w:pPr>
              <w:pStyle w:val="TableRowHeader"/>
              <w:jc w:val="left"/>
              <w:rPr>
                <w:sz w:val="18"/>
                <w:szCs w:val="18"/>
              </w:rPr>
            </w:pPr>
            <w:r w:rsidRPr="004A7F1F">
              <w:rPr>
                <w:sz w:val="18"/>
                <w:szCs w:val="18"/>
              </w:rPr>
              <w:t>Density</w:t>
            </w:r>
          </w:p>
        </w:tc>
        <w:tc>
          <w:tcPr>
            <w:tcW w:w="2612" w:type="dxa"/>
          </w:tcPr>
          <w:p w14:paraId="115C5B72" w14:textId="713AF517" w:rsidR="008F7D9F" w:rsidRPr="004A7F1F" w:rsidRDefault="008F7D9F" w:rsidP="008F7D9F">
            <w:pPr>
              <w:pStyle w:val="StyleTabletextItalic"/>
              <w:jc w:val="left"/>
              <w:rPr>
                <w:sz w:val="18"/>
                <w:szCs w:val="18"/>
              </w:rPr>
            </w:pPr>
          </w:p>
        </w:tc>
        <w:tc>
          <w:tcPr>
            <w:tcW w:w="2257" w:type="dxa"/>
          </w:tcPr>
          <w:p w14:paraId="115C5B73" w14:textId="411EA2C4" w:rsidR="008F7D9F" w:rsidRPr="004A7F1F" w:rsidRDefault="008F7D9F">
            <w:pPr>
              <w:pStyle w:val="StyleTabletextItalic"/>
              <w:jc w:val="left"/>
              <w:rPr>
                <w:i w:val="0"/>
                <w:sz w:val="18"/>
                <w:szCs w:val="18"/>
              </w:rPr>
            </w:pPr>
            <w:r w:rsidRPr="004A7F1F">
              <w:rPr>
                <w:i w:val="0"/>
                <w:sz w:val="18"/>
                <w:szCs w:val="18"/>
              </w:rPr>
              <w:t>e.g. 1.2</w:t>
            </w:r>
            <w:r w:rsidR="00390224" w:rsidRPr="004A7F1F">
              <w:rPr>
                <w:i w:val="0"/>
                <w:sz w:val="18"/>
                <w:szCs w:val="18"/>
              </w:rPr>
              <w:t>74</w:t>
            </w:r>
            <w:r w:rsidRPr="004A7F1F">
              <w:rPr>
                <w:i w:val="0"/>
                <w:sz w:val="18"/>
                <w:szCs w:val="18"/>
              </w:rPr>
              <w:t xml:space="preserve"> g/m</w:t>
            </w:r>
            <w:r w:rsidRPr="004A7F1F">
              <w:rPr>
                <w:i w:val="0"/>
                <w:sz w:val="18"/>
                <w:szCs w:val="18"/>
                <w:vertAlign w:val="superscript"/>
              </w:rPr>
              <w:t>3</w:t>
            </w:r>
            <w:r w:rsidRPr="004A7F1F">
              <w:rPr>
                <w:i w:val="0"/>
                <w:sz w:val="18"/>
                <w:szCs w:val="18"/>
              </w:rPr>
              <w:t xml:space="preserve"> at 20°C</w:t>
            </w:r>
          </w:p>
        </w:tc>
        <w:tc>
          <w:tcPr>
            <w:tcW w:w="2330" w:type="dxa"/>
          </w:tcPr>
          <w:p w14:paraId="115C5B74" w14:textId="785B03A0" w:rsidR="008F7D9F" w:rsidRPr="004A7F1F" w:rsidRDefault="008F7D9F" w:rsidP="008F7D9F">
            <w:pPr>
              <w:pStyle w:val="StyleTabletextItalic"/>
              <w:jc w:val="left"/>
              <w:rPr>
                <w:i w:val="0"/>
                <w:sz w:val="18"/>
                <w:szCs w:val="18"/>
              </w:rPr>
            </w:pPr>
            <w:r w:rsidRPr="004A7F1F">
              <w:rPr>
                <w:i w:val="0"/>
                <w:sz w:val="18"/>
                <w:szCs w:val="18"/>
              </w:rPr>
              <w:t>Mackay, 2006</w:t>
            </w:r>
          </w:p>
        </w:tc>
      </w:tr>
      <w:tr w:rsidR="008F7D9F" w:rsidRPr="004A7F1F" w14:paraId="115C5B7A" w14:textId="77777777" w:rsidTr="00816268">
        <w:tc>
          <w:tcPr>
            <w:tcW w:w="2322" w:type="dxa"/>
          </w:tcPr>
          <w:p w14:paraId="115C5B76" w14:textId="77777777" w:rsidR="008F7D9F" w:rsidRPr="004A7F1F" w:rsidRDefault="008F7D9F" w:rsidP="008F7D9F">
            <w:pPr>
              <w:pStyle w:val="TableRowHeader"/>
              <w:jc w:val="left"/>
              <w:rPr>
                <w:sz w:val="18"/>
                <w:szCs w:val="18"/>
              </w:rPr>
            </w:pPr>
            <w:r w:rsidRPr="004A7F1F">
              <w:rPr>
                <w:sz w:val="18"/>
                <w:szCs w:val="18"/>
              </w:rPr>
              <w:t>Water solubility</w:t>
            </w:r>
          </w:p>
        </w:tc>
        <w:tc>
          <w:tcPr>
            <w:tcW w:w="2612" w:type="dxa"/>
          </w:tcPr>
          <w:p w14:paraId="115C5B77" w14:textId="4F5721E1" w:rsidR="008F7D9F" w:rsidRPr="004A7F1F" w:rsidRDefault="008F7D9F">
            <w:pPr>
              <w:pStyle w:val="StyleTabletextItalic"/>
              <w:jc w:val="left"/>
              <w:rPr>
                <w:i w:val="0"/>
                <w:sz w:val="18"/>
                <w:szCs w:val="18"/>
              </w:rPr>
            </w:pPr>
            <w:r w:rsidRPr="004A7F1F">
              <w:rPr>
                <w:i w:val="0"/>
                <w:sz w:val="18"/>
                <w:szCs w:val="18"/>
              </w:rPr>
              <w:t>reported water solubility values are within the range of the two indicated values (3</w:t>
            </w:r>
            <w:r w:rsidRPr="004A7F1F">
              <w:rPr>
                <w:i w:val="0"/>
                <w:sz w:val="18"/>
                <w:szCs w:val="18"/>
                <w:vertAlign w:val="superscript"/>
              </w:rPr>
              <w:t>rd</w:t>
            </w:r>
            <w:r w:rsidRPr="004A7F1F">
              <w:rPr>
                <w:i w:val="0"/>
                <w:sz w:val="18"/>
                <w:szCs w:val="18"/>
              </w:rPr>
              <w:t xml:space="preserve"> column)</w:t>
            </w:r>
          </w:p>
        </w:tc>
        <w:tc>
          <w:tcPr>
            <w:tcW w:w="2257" w:type="dxa"/>
          </w:tcPr>
          <w:p w14:paraId="42580AD8" w14:textId="1E41A366" w:rsidR="008F7D9F" w:rsidRPr="004A7F1F" w:rsidRDefault="00E265A5">
            <w:pPr>
              <w:pStyle w:val="StyleTabletextItalic"/>
              <w:jc w:val="left"/>
              <w:rPr>
                <w:i w:val="0"/>
                <w:sz w:val="18"/>
                <w:szCs w:val="18"/>
              </w:rPr>
            </w:pPr>
            <w:r w:rsidRPr="004A7F1F">
              <w:rPr>
                <w:i w:val="0"/>
                <w:sz w:val="18"/>
                <w:szCs w:val="18"/>
              </w:rPr>
              <w:t>1.0</w:t>
            </w:r>
            <w:r w:rsidR="00A75A83" w:rsidRPr="004A7F1F">
              <w:rPr>
                <w:i w:val="0"/>
                <w:sz w:val="18"/>
                <w:szCs w:val="18"/>
              </w:rPr>
              <w:t xml:space="preserve"> </w:t>
            </w:r>
            <w:r w:rsidRPr="004A7F1F">
              <w:rPr>
                <w:i w:val="0"/>
                <w:sz w:val="18"/>
                <w:szCs w:val="18"/>
              </w:rPr>
              <w:t>µg L</w:t>
            </w:r>
            <w:r w:rsidRPr="004A7F1F">
              <w:rPr>
                <w:i w:val="0"/>
                <w:sz w:val="18"/>
                <w:szCs w:val="18"/>
                <w:vertAlign w:val="superscript"/>
              </w:rPr>
              <w:t>-1</w:t>
            </w:r>
            <w:r w:rsidR="008F7D9F" w:rsidRPr="004A7F1F">
              <w:rPr>
                <w:i w:val="0"/>
                <w:sz w:val="18"/>
                <w:szCs w:val="18"/>
              </w:rPr>
              <w:t xml:space="preserve"> </w:t>
            </w:r>
            <w:r w:rsidRPr="004A7F1F">
              <w:rPr>
                <w:i w:val="0"/>
                <w:sz w:val="18"/>
                <w:szCs w:val="18"/>
              </w:rPr>
              <w:t>- 3.3 µg L</w:t>
            </w:r>
            <w:r w:rsidRPr="004A7F1F">
              <w:rPr>
                <w:i w:val="0"/>
                <w:sz w:val="18"/>
                <w:szCs w:val="18"/>
                <w:vertAlign w:val="superscript"/>
              </w:rPr>
              <w:t>-1</w:t>
            </w:r>
          </w:p>
          <w:p w14:paraId="46A4C9C0" w14:textId="77777777" w:rsidR="00A75A83" w:rsidRPr="004A7F1F" w:rsidRDefault="00A75A83">
            <w:pPr>
              <w:pStyle w:val="StyleTabletextItalic"/>
              <w:tabs>
                <w:tab w:val="left" w:pos="4536"/>
                <w:tab w:val="left" w:pos="7088"/>
                <w:tab w:val="left" w:pos="8789"/>
              </w:tabs>
              <w:jc w:val="left"/>
              <w:rPr>
                <w:i w:val="0"/>
                <w:sz w:val="18"/>
                <w:szCs w:val="18"/>
              </w:rPr>
            </w:pPr>
          </w:p>
          <w:p w14:paraId="115C5B78" w14:textId="4219D352" w:rsidR="00A75A83" w:rsidRPr="004A7F1F" w:rsidRDefault="00A75A83">
            <w:pPr>
              <w:pStyle w:val="StyleTabletextItalic"/>
              <w:jc w:val="left"/>
              <w:rPr>
                <w:sz w:val="18"/>
                <w:szCs w:val="18"/>
              </w:rPr>
            </w:pPr>
          </w:p>
        </w:tc>
        <w:tc>
          <w:tcPr>
            <w:tcW w:w="2330" w:type="dxa"/>
          </w:tcPr>
          <w:p w14:paraId="115C5B79" w14:textId="414665A5" w:rsidR="008F7D9F" w:rsidRPr="004A7F1F" w:rsidRDefault="00A75A83" w:rsidP="008F7D9F">
            <w:pPr>
              <w:pStyle w:val="StyleTabletextItalic"/>
              <w:jc w:val="left"/>
              <w:rPr>
                <w:sz w:val="18"/>
                <w:szCs w:val="18"/>
              </w:rPr>
            </w:pPr>
            <w:r w:rsidRPr="004A7F1F">
              <w:rPr>
                <w:i w:val="0"/>
                <w:sz w:val="18"/>
                <w:szCs w:val="18"/>
              </w:rPr>
              <w:t>Mackay, 2006</w:t>
            </w:r>
          </w:p>
        </w:tc>
      </w:tr>
      <w:tr w:rsidR="00CC622E" w:rsidRPr="004A7F1F" w14:paraId="115C5B7F" w14:textId="77777777" w:rsidTr="00816268">
        <w:tc>
          <w:tcPr>
            <w:tcW w:w="2322" w:type="dxa"/>
          </w:tcPr>
          <w:p w14:paraId="115C5B7B" w14:textId="77777777" w:rsidR="00CC622E" w:rsidRPr="004A7F1F" w:rsidRDefault="00CC622E" w:rsidP="00CC622E">
            <w:pPr>
              <w:pStyle w:val="TableRowHeader"/>
              <w:jc w:val="left"/>
              <w:rPr>
                <w:sz w:val="18"/>
                <w:szCs w:val="18"/>
              </w:rPr>
            </w:pPr>
            <w:r w:rsidRPr="004A7F1F">
              <w:rPr>
                <w:sz w:val="18"/>
                <w:szCs w:val="18"/>
              </w:rPr>
              <w:t>Partition coefficient n-octanol/water (log value)</w:t>
            </w:r>
          </w:p>
        </w:tc>
        <w:tc>
          <w:tcPr>
            <w:tcW w:w="2612" w:type="dxa"/>
          </w:tcPr>
          <w:p w14:paraId="115C5B7C" w14:textId="7E5ADABC" w:rsidR="00CC622E" w:rsidRPr="004A7F1F" w:rsidRDefault="00CC622E" w:rsidP="00CC622E">
            <w:pPr>
              <w:pStyle w:val="StyleTabletextItalic"/>
              <w:jc w:val="left"/>
              <w:rPr>
                <w:sz w:val="18"/>
                <w:szCs w:val="18"/>
              </w:rPr>
            </w:pPr>
          </w:p>
        </w:tc>
        <w:tc>
          <w:tcPr>
            <w:tcW w:w="2257" w:type="dxa"/>
          </w:tcPr>
          <w:p w14:paraId="115C5B7D" w14:textId="1194E129" w:rsidR="00CC622E" w:rsidRPr="004A7F1F" w:rsidRDefault="00CC622E">
            <w:pPr>
              <w:pStyle w:val="StyleTabletextItalic"/>
              <w:jc w:val="left"/>
              <w:rPr>
                <w:i w:val="0"/>
                <w:sz w:val="18"/>
                <w:szCs w:val="18"/>
              </w:rPr>
            </w:pPr>
            <w:r w:rsidRPr="004A7F1F">
              <w:rPr>
                <w:i w:val="0"/>
                <w:sz w:val="18"/>
                <w:szCs w:val="18"/>
              </w:rPr>
              <w:t xml:space="preserve">log </w:t>
            </w:r>
            <w:proofErr w:type="spellStart"/>
            <w:r w:rsidRPr="004A7F1F">
              <w:rPr>
                <w:i w:val="0"/>
                <w:sz w:val="18"/>
                <w:szCs w:val="18"/>
              </w:rPr>
              <w:t>Kow</w:t>
            </w:r>
            <w:proofErr w:type="spellEnd"/>
            <w:r w:rsidRPr="004A7F1F">
              <w:rPr>
                <w:i w:val="0"/>
                <w:sz w:val="18"/>
                <w:szCs w:val="18"/>
              </w:rPr>
              <w:t xml:space="preserve"> 5.7</w:t>
            </w:r>
            <w:r w:rsidR="00390224" w:rsidRPr="004A7F1F">
              <w:rPr>
                <w:i w:val="0"/>
                <w:sz w:val="18"/>
                <w:szCs w:val="18"/>
              </w:rPr>
              <w:t>3</w:t>
            </w:r>
            <w:r w:rsidRPr="004A7F1F">
              <w:rPr>
                <w:i w:val="0"/>
                <w:sz w:val="18"/>
                <w:szCs w:val="18"/>
              </w:rPr>
              <w:t xml:space="preserve"> at 25°C</w:t>
            </w:r>
          </w:p>
        </w:tc>
        <w:tc>
          <w:tcPr>
            <w:tcW w:w="2330" w:type="dxa"/>
          </w:tcPr>
          <w:p w14:paraId="115C5B7E" w14:textId="2A2680FB" w:rsidR="00CC622E" w:rsidRPr="004A7F1F" w:rsidRDefault="00CC622E" w:rsidP="00CC622E">
            <w:pPr>
              <w:pStyle w:val="StyleTabletextItalic"/>
              <w:jc w:val="left"/>
              <w:rPr>
                <w:sz w:val="18"/>
                <w:szCs w:val="18"/>
              </w:rPr>
            </w:pPr>
            <w:r w:rsidRPr="004A7F1F">
              <w:rPr>
                <w:i w:val="0"/>
                <w:sz w:val="18"/>
                <w:szCs w:val="18"/>
              </w:rPr>
              <w:t>Mackay, 2006</w:t>
            </w:r>
          </w:p>
        </w:tc>
      </w:tr>
    </w:tbl>
    <w:p w14:paraId="115C5B85" w14:textId="77777777" w:rsidR="00B12C39" w:rsidRPr="004A7F1F" w:rsidRDefault="00B12C39" w:rsidP="00B12C39"/>
    <w:p w14:paraId="115C5B86" w14:textId="77777777" w:rsidR="00B12C39" w:rsidRPr="004A7F1F" w:rsidRDefault="00B12C39" w:rsidP="00B12C39">
      <w:pPr>
        <w:pStyle w:val="Heading1"/>
      </w:pPr>
      <w:r w:rsidRPr="004A7F1F">
        <w:br w:type="page"/>
      </w:r>
      <w:bookmarkStart w:id="132" w:name="_Toc341888507"/>
      <w:bookmarkStart w:id="133" w:name="_Toc342400361"/>
      <w:bookmarkStart w:id="134" w:name="_Toc354499572"/>
      <w:bookmarkStart w:id="135" w:name="_Toc357083647"/>
      <w:bookmarkStart w:id="136" w:name="_Toc357184196"/>
      <w:bookmarkStart w:id="137" w:name="_Toc357184432"/>
      <w:bookmarkStart w:id="138" w:name="_Toc357185234"/>
      <w:bookmarkStart w:id="139" w:name="_Toc357186082"/>
      <w:bookmarkStart w:id="140" w:name="_Toc357186231"/>
      <w:bookmarkStart w:id="141" w:name="_Toc357437517"/>
      <w:bookmarkStart w:id="142" w:name="_Toc357590790"/>
      <w:bookmarkStart w:id="143" w:name="_Toc357692822"/>
      <w:bookmarkStart w:id="144" w:name="_Toc365649649"/>
      <w:bookmarkStart w:id="145" w:name="_Toc365649798"/>
      <w:bookmarkStart w:id="146" w:name="_Toc366489850"/>
      <w:bookmarkStart w:id="147" w:name="_Toc418498555"/>
      <w:bookmarkStart w:id="148" w:name="_Toc418505998"/>
      <w:bookmarkStart w:id="149" w:name="_Toc491868891"/>
      <w:r w:rsidRPr="004A7F1F">
        <w:lastRenderedPageBreak/>
        <w:t>Harmonised classification and labelling</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115C5B8C" w14:textId="3DB1A6D9" w:rsidR="00E936AE" w:rsidRPr="004A7F1F" w:rsidRDefault="00B12C39" w:rsidP="00B12C39">
      <w:pPr>
        <w:widowControl/>
        <w:spacing w:after="180"/>
        <w:jc w:val="both"/>
        <w:rPr>
          <w:i/>
          <w:szCs w:val="24"/>
          <w:lang w:eastAsia="en-US"/>
        </w:rPr>
      </w:pPr>
      <w:bookmarkStart w:id="150" w:name="_Toc265748360"/>
      <w:bookmarkStart w:id="151" w:name="_Toc277236424"/>
      <w:bookmarkStart w:id="152" w:name="_Toc284425462"/>
      <w:r w:rsidRPr="004A7F1F">
        <w:rPr>
          <w:i/>
          <w:szCs w:val="24"/>
          <w:lang w:eastAsia="en-US"/>
        </w:rPr>
        <w:t xml:space="preserve"> </w:t>
      </w:r>
    </w:p>
    <w:p w14:paraId="115C5B8D" w14:textId="0C6DF878" w:rsidR="00B12C39" w:rsidRPr="004A7F1F" w:rsidRDefault="00B84DB1" w:rsidP="00B12C39">
      <w:pPr>
        <w:widowControl/>
        <w:spacing w:after="180"/>
        <w:jc w:val="both"/>
        <w:rPr>
          <w:lang w:eastAsia="en-US"/>
        </w:rPr>
      </w:pPr>
      <w:r w:rsidRPr="004A7F1F">
        <w:rPr>
          <w:lang w:eastAsia="en-US"/>
        </w:rPr>
        <w:t>Chrysene</w:t>
      </w:r>
      <w:r w:rsidR="00B12C39" w:rsidRPr="004A7F1F">
        <w:rPr>
          <w:lang w:eastAsia="en-US"/>
        </w:rPr>
        <w:t xml:space="preserve"> is covered by Index number </w:t>
      </w:r>
      <w:r w:rsidRPr="004A7F1F">
        <w:t xml:space="preserve">601-048-00-0 </w:t>
      </w:r>
      <w:r w:rsidR="00B12C39" w:rsidRPr="004A7F1F">
        <w:rPr>
          <w:lang w:eastAsia="en-US"/>
        </w:rPr>
        <w:t xml:space="preserve">in </w:t>
      </w:r>
      <w:r w:rsidR="002243E0" w:rsidRPr="004A7F1F">
        <w:rPr>
          <w:lang w:eastAsia="en-US"/>
        </w:rPr>
        <w:t xml:space="preserve">part 3 of </w:t>
      </w:r>
      <w:r w:rsidR="00B12C39" w:rsidRPr="004A7F1F">
        <w:rPr>
          <w:lang w:eastAsia="en-US"/>
        </w:rPr>
        <w:t xml:space="preserve">Annex VI </w:t>
      </w:r>
      <w:r w:rsidR="002243E0" w:rsidRPr="004A7F1F">
        <w:rPr>
          <w:lang w:eastAsia="en-US"/>
        </w:rPr>
        <w:t xml:space="preserve">to </w:t>
      </w:r>
      <w:r w:rsidR="00D21FF5" w:rsidRPr="004A7F1F">
        <w:rPr>
          <w:lang w:eastAsia="en-US"/>
        </w:rPr>
        <w:t xml:space="preserve">the </w:t>
      </w:r>
      <w:r w:rsidR="002243E0" w:rsidRPr="004A7F1F">
        <w:rPr>
          <w:lang w:eastAsia="en-US"/>
        </w:rPr>
        <w:t xml:space="preserve">CLP </w:t>
      </w:r>
      <w:r w:rsidR="00B12C39" w:rsidRPr="004A7F1F">
        <w:rPr>
          <w:lang w:eastAsia="en-US"/>
        </w:rPr>
        <w:t>Regulation as follows:</w:t>
      </w:r>
    </w:p>
    <w:p w14:paraId="115C5B8E" w14:textId="71E1D71B" w:rsidR="00B12C39" w:rsidRPr="004A7F1F" w:rsidRDefault="00FC5D4E" w:rsidP="00C94560">
      <w:pPr>
        <w:pStyle w:val="Caption"/>
        <w:ind w:left="0"/>
        <w:rPr>
          <w:b/>
          <w:sz w:val="18"/>
          <w:szCs w:val="18"/>
        </w:rPr>
      </w:pPr>
      <w:bookmarkStart w:id="153" w:name="_Toc316637462"/>
      <w:bookmarkStart w:id="154" w:name="_Toc341889786"/>
      <w:bookmarkStart w:id="155" w:name="_Toc357184847"/>
      <w:bookmarkStart w:id="156" w:name="_Toc359563698"/>
      <w:bookmarkStart w:id="157" w:name="_Toc272312460"/>
      <w:bookmarkStart w:id="158" w:name="_Toc284316797"/>
      <w:bookmarkStart w:id="159" w:name="_Toc492027482"/>
      <w:r w:rsidRPr="004A7F1F">
        <w:rPr>
          <w:b/>
          <w:sz w:val="18"/>
          <w:szCs w:val="18"/>
        </w:rPr>
        <w:t xml:space="preserve">Table </w:t>
      </w:r>
      <w:r w:rsidR="000721AD" w:rsidRPr="002567E3">
        <w:rPr>
          <w:b/>
          <w:sz w:val="18"/>
          <w:szCs w:val="18"/>
        </w:rPr>
        <w:fldChar w:fldCharType="begin"/>
      </w:r>
      <w:r w:rsidRPr="004A7F1F">
        <w:rPr>
          <w:b/>
          <w:sz w:val="18"/>
          <w:szCs w:val="18"/>
        </w:rPr>
        <w:instrText xml:space="preserve"> SEQ Table \* ARABIC </w:instrText>
      </w:r>
      <w:r w:rsidR="000721AD" w:rsidRPr="002567E3">
        <w:rPr>
          <w:b/>
          <w:sz w:val="18"/>
          <w:szCs w:val="18"/>
        </w:rPr>
        <w:fldChar w:fldCharType="separate"/>
      </w:r>
      <w:r w:rsidR="009D4B0B">
        <w:rPr>
          <w:b/>
          <w:noProof/>
          <w:sz w:val="18"/>
          <w:szCs w:val="18"/>
        </w:rPr>
        <w:t>3</w:t>
      </w:r>
      <w:r w:rsidR="000721AD" w:rsidRPr="002567E3">
        <w:rPr>
          <w:b/>
          <w:sz w:val="18"/>
          <w:szCs w:val="18"/>
        </w:rPr>
        <w:fldChar w:fldCharType="end"/>
      </w:r>
      <w:r w:rsidR="00B12C39" w:rsidRPr="004A7F1F">
        <w:rPr>
          <w:b/>
          <w:sz w:val="18"/>
          <w:szCs w:val="18"/>
        </w:rPr>
        <w:t>: Classification according to Annex VI, Table 3.1 (list of harmonised classification and labelling of hazardous substances) of Regulation (EC) No 1272/2008</w:t>
      </w:r>
      <w:bookmarkEnd w:id="153"/>
      <w:bookmarkEnd w:id="154"/>
      <w:bookmarkEnd w:id="155"/>
      <w:bookmarkEnd w:id="156"/>
      <w:bookmarkEnd w:id="159"/>
    </w:p>
    <w:tbl>
      <w:tblPr>
        <w:tblW w:w="9858" w:type="dxa"/>
        <w:jc w:val="center"/>
        <w:tblLayout w:type="fixed"/>
        <w:tblCellMar>
          <w:top w:w="28" w:type="dxa"/>
          <w:left w:w="28" w:type="dxa"/>
          <w:bottom w:w="28" w:type="dxa"/>
          <w:right w:w="28" w:type="dxa"/>
        </w:tblCellMar>
        <w:tblLook w:val="0000" w:firstRow="0" w:lastRow="0" w:firstColumn="0" w:lastColumn="0" w:noHBand="0" w:noVBand="0"/>
      </w:tblPr>
      <w:tblGrid>
        <w:gridCol w:w="677"/>
        <w:gridCol w:w="1418"/>
        <w:gridCol w:w="567"/>
        <w:gridCol w:w="567"/>
        <w:gridCol w:w="992"/>
        <w:gridCol w:w="992"/>
        <w:gridCol w:w="1134"/>
        <w:gridCol w:w="993"/>
        <w:gridCol w:w="1101"/>
        <w:gridCol w:w="774"/>
        <w:gridCol w:w="643"/>
      </w:tblGrid>
      <w:tr w:rsidR="00B12C39" w:rsidRPr="004A7F1F" w14:paraId="115C5B97" w14:textId="77777777" w:rsidTr="003B3C62">
        <w:trPr>
          <w:cantSplit/>
          <w:trHeight w:val="98"/>
          <w:jc w:val="center"/>
        </w:trPr>
        <w:tc>
          <w:tcPr>
            <w:tcW w:w="677" w:type="dxa"/>
            <w:vMerge w:val="restart"/>
            <w:tcBorders>
              <w:top w:val="single" w:sz="2" w:space="0" w:color="auto"/>
              <w:left w:val="single" w:sz="2" w:space="0" w:color="auto"/>
              <w:right w:val="single" w:sz="2" w:space="0" w:color="auto"/>
            </w:tcBorders>
          </w:tcPr>
          <w:bookmarkEnd w:id="157"/>
          <w:bookmarkEnd w:id="158"/>
          <w:p w14:paraId="115C5B8F" w14:textId="77777777" w:rsidR="00B12C39" w:rsidRPr="004A7F1F" w:rsidRDefault="00B12C39" w:rsidP="00B12C39">
            <w:pPr>
              <w:pStyle w:val="TableColumnHeader"/>
              <w:ind w:left="0"/>
              <w:rPr>
                <w:sz w:val="16"/>
                <w:szCs w:val="18"/>
              </w:rPr>
            </w:pPr>
            <w:r w:rsidRPr="004A7F1F">
              <w:rPr>
                <w:sz w:val="16"/>
                <w:szCs w:val="18"/>
              </w:rPr>
              <w:t>Index No</w:t>
            </w:r>
          </w:p>
        </w:tc>
        <w:tc>
          <w:tcPr>
            <w:tcW w:w="1418" w:type="dxa"/>
            <w:vMerge w:val="restart"/>
            <w:tcBorders>
              <w:top w:val="single" w:sz="2" w:space="0" w:color="auto"/>
              <w:left w:val="single" w:sz="2" w:space="0" w:color="auto"/>
              <w:right w:val="single" w:sz="2" w:space="0" w:color="auto"/>
            </w:tcBorders>
          </w:tcPr>
          <w:p w14:paraId="115C5B90" w14:textId="77777777" w:rsidR="00B12C39" w:rsidRPr="004A7F1F" w:rsidRDefault="00B12C39" w:rsidP="00B12C39">
            <w:pPr>
              <w:pStyle w:val="TableColumnHeader"/>
              <w:ind w:left="0"/>
              <w:rPr>
                <w:sz w:val="16"/>
                <w:szCs w:val="18"/>
              </w:rPr>
            </w:pPr>
            <w:r w:rsidRPr="004A7F1F">
              <w:rPr>
                <w:sz w:val="16"/>
                <w:szCs w:val="18"/>
              </w:rPr>
              <w:t>International Chemical Identification</w:t>
            </w:r>
          </w:p>
        </w:tc>
        <w:tc>
          <w:tcPr>
            <w:tcW w:w="567" w:type="dxa"/>
            <w:vMerge w:val="restart"/>
            <w:tcBorders>
              <w:top w:val="single" w:sz="2" w:space="0" w:color="auto"/>
              <w:left w:val="single" w:sz="2" w:space="0" w:color="auto"/>
              <w:right w:val="single" w:sz="2" w:space="0" w:color="auto"/>
            </w:tcBorders>
          </w:tcPr>
          <w:p w14:paraId="115C5B91" w14:textId="77777777" w:rsidR="00B12C39" w:rsidRPr="004A7F1F" w:rsidRDefault="00B12C39" w:rsidP="00B12C39">
            <w:pPr>
              <w:pStyle w:val="TableColumnHeader"/>
              <w:ind w:left="0"/>
              <w:rPr>
                <w:sz w:val="16"/>
                <w:szCs w:val="18"/>
              </w:rPr>
            </w:pPr>
            <w:r w:rsidRPr="004A7F1F">
              <w:rPr>
                <w:sz w:val="16"/>
                <w:szCs w:val="18"/>
              </w:rPr>
              <w:t>EC No</w:t>
            </w:r>
          </w:p>
        </w:tc>
        <w:tc>
          <w:tcPr>
            <w:tcW w:w="567" w:type="dxa"/>
            <w:vMerge w:val="restart"/>
            <w:tcBorders>
              <w:top w:val="single" w:sz="2" w:space="0" w:color="auto"/>
              <w:left w:val="single" w:sz="2" w:space="0" w:color="auto"/>
              <w:right w:val="single" w:sz="2" w:space="0" w:color="auto"/>
            </w:tcBorders>
          </w:tcPr>
          <w:p w14:paraId="115C5B92" w14:textId="77777777" w:rsidR="00B12C39" w:rsidRPr="004A7F1F" w:rsidRDefault="00B12C39" w:rsidP="00B12C39">
            <w:pPr>
              <w:pStyle w:val="TableColumnHeader"/>
              <w:ind w:left="0"/>
              <w:rPr>
                <w:sz w:val="16"/>
                <w:szCs w:val="18"/>
              </w:rPr>
            </w:pPr>
            <w:r w:rsidRPr="004A7F1F">
              <w:rPr>
                <w:sz w:val="16"/>
                <w:szCs w:val="18"/>
              </w:rPr>
              <w:t>CAS No</w:t>
            </w:r>
          </w:p>
        </w:tc>
        <w:tc>
          <w:tcPr>
            <w:tcW w:w="1984" w:type="dxa"/>
            <w:gridSpan w:val="2"/>
            <w:tcBorders>
              <w:top w:val="single" w:sz="2" w:space="0" w:color="auto"/>
              <w:left w:val="single" w:sz="2" w:space="0" w:color="auto"/>
              <w:bottom w:val="single" w:sz="4" w:space="0" w:color="auto"/>
              <w:right w:val="single" w:sz="2" w:space="0" w:color="auto"/>
            </w:tcBorders>
          </w:tcPr>
          <w:p w14:paraId="115C5B93" w14:textId="77777777" w:rsidR="00B12C39" w:rsidRPr="004A7F1F" w:rsidRDefault="00B12C39" w:rsidP="00B12C39">
            <w:pPr>
              <w:pStyle w:val="TableColumnHeader"/>
              <w:ind w:left="0"/>
              <w:rPr>
                <w:sz w:val="16"/>
                <w:szCs w:val="18"/>
              </w:rPr>
            </w:pPr>
            <w:r w:rsidRPr="004A7F1F">
              <w:rPr>
                <w:sz w:val="16"/>
                <w:szCs w:val="18"/>
              </w:rPr>
              <w:t>Classification</w:t>
            </w:r>
          </w:p>
        </w:tc>
        <w:tc>
          <w:tcPr>
            <w:tcW w:w="3228" w:type="dxa"/>
            <w:gridSpan w:val="3"/>
            <w:tcBorders>
              <w:top w:val="single" w:sz="2" w:space="0" w:color="auto"/>
              <w:left w:val="single" w:sz="2" w:space="0" w:color="auto"/>
              <w:bottom w:val="single" w:sz="4" w:space="0" w:color="auto"/>
              <w:right w:val="single" w:sz="2" w:space="0" w:color="auto"/>
            </w:tcBorders>
          </w:tcPr>
          <w:p w14:paraId="115C5B94" w14:textId="77777777" w:rsidR="00B12C39" w:rsidRPr="004A7F1F" w:rsidRDefault="00B12C39" w:rsidP="00B12C39">
            <w:pPr>
              <w:pStyle w:val="TableColumnHeader"/>
              <w:ind w:left="0"/>
              <w:rPr>
                <w:sz w:val="16"/>
                <w:szCs w:val="18"/>
              </w:rPr>
            </w:pPr>
            <w:r w:rsidRPr="004A7F1F">
              <w:rPr>
                <w:sz w:val="16"/>
                <w:szCs w:val="18"/>
              </w:rPr>
              <w:t>Labelling</w:t>
            </w:r>
          </w:p>
        </w:tc>
        <w:tc>
          <w:tcPr>
            <w:tcW w:w="774" w:type="dxa"/>
            <w:vMerge w:val="restart"/>
            <w:tcBorders>
              <w:top w:val="single" w:sz="2" w:space="0" w:color="auto"/>
              <w:left w:val="single" w:sz="2" w:space="0" w:color="auto"/>
              <w:right w:val="single" w:sz="2" w:space="0" w:color="auto"/>
            </w:tcBorders>
          </w:tcPr>
          <w:p w14:paraId="115C5B95" w14:textId="77777777" w:rsidR="00B12C39" w:rsidRPr="004A7F1F" w:rsidRDefault="00B12C39" w:rsidP="00B12C39">
            <w:pPr>
              <w:pStyle w:val="TableColumnHeader"/>
              <w:ind w:left="0"/>
              <w:rPr>
                <w:sz w:val="16"/>
                <w:szCs w:val="18"/>
              </w:rPr>
            </w:pPr>
            <w:r w:rsidRPr="004A7F1F">
              <w:rPr>
                <w:sz w:val="16"/>
                <w:szCs w:val="18"/>
              </w:rPr>
              <w:t>Spec. Conc. Limits, M-factors</w:t>
            </w:r>
          </w:p>
        </w:tc>
        <w:tc>
          <w:tcPr>
            <w:tcW w:w="643" w:type="dxa"/>
            <w:vMerge w:val="restart"/>
            <w:tcBorders>
              <w:top w:val="single" w:sz="2" w:space="0" w:color="auto"/>
              <w:left w:val="single" w:sz="2" w:space="0" w:color="auto"/>
              <w:right w:val="single" w:sz="2" w:space="0" w:color="auto"/>
            </w:tcBorders>
          </w:tcPr>
          <w:p w14:paraId="115C5B96" w14:textId="77777777" w:rsidR="00B12C39" w:rsidRPr="004A7F1F" w:rsidRDefault="00B12C39" w:rsidP="00B12C39">
            <w:pPr>
              <w:pStyle w:val="TableColumnHeader"/>
              <w:ind w:left="0"/>
              <w:rPr>
                <w:sz w:val="16"/>
                <w:szCs w:val="18"/>
              </w:rPr>
            </w:pPr>
            <w:r w:rsidRPr="004A7F1F">
              <w:rPr>
                <w:sz w:val="16"/>
                <w:szCs w:val="18"/>
              </w:rPr>
              <w:t>Notes</w:t>
            </w:r>
          </w:p>
        </w:tc>
      </w:tr>
      <w:tr w:rsidR="00B12C39" w:rsidRPr="004A7F1F" w14:paraId="115C5BA3" w14:textId="77777777" w:rsidTr="003B3C62">
        <w:trPr>
          <w:cantSplit/>
          <w:trHeight w:val="880"/>
          <w:jc w:val="center"/>
        </w:trPr>
        <w:tc>
          <w:tcPr>
            <w:tcW w:w="677" w:type="dxa"/>
            <w:vMerge/>
            <w:tcBorders>
              <w:left w:val="single" w:sz="2" w:space="0" w:color="auto"/>
              <w:bottom w:val="single" w:sz="2" w:space="0" w:color="auto"/>
              <w:right w:val="single" w:sz="2" w:space="0" w:color="auto"/>
            </w:tcBorders>
          </w:tcPr>
          <w:p w14:paraId="115C5B98" w14:textId="77777777" w:rsidR="00B12C39" w:rsidRPr="004A7F1F" w:rsidRDefault="00B12C39" w:rsidP="00B12C39">
            <w:pPr>
              <w:keepNext/>
              <w:keepLines/>
              <w:widowControl/>
              <w:spacing w:before="54" w:after="54"/>
              <w:ind w:left="113"/>
              <w:jc w:val="center"/>
              <w:rPr>
                <w:b/>
                <w:bCs/>
                <w:szCs w:val="22"/>
                <w:lang w:eastAsia="da-DK"/>
              </w:rPr>
            </w:pPr>
          </w:p>
        </w:tc>
        <w:tc>
          <w:tcPr>
            <w:tcW w:w="1418" w:type="dxa"/>
            <w:vMerge/>
            <w:tcBorders>
              <w:left w:val="single" w:sz="2" w:space="0" w:color="auto"/>
              <w:bottom w:val="single" w:sz="2" w:space="0" w:color="auto"/>
              <w:right w:val="single" w:sz="2" w:space="0" w:color="auto"/>
            </w:tcBorders>
          </w:tcPr>
          <w:p w14:paraId="115C5B99" w14:textId="77777777" w:rsidR="00B12C39" w:rsidRPr="004A7F1F" w:rsidRDefault="00B12C39" w:rsidP="00B12C39">
            <w:pPr>
              <w:keepNext/>
              <w:keepLines/>
              <w:widowControl/>
              <w:spacing w:before="54" w:after="54"/>
              <w:ind w:left="113"/>
              <w:jc w:val="center"/>
              <w:rPr>
                <w:b/>
                <w:bCs/>
                <w:sz w:val="16"/>
                <w:szCs w:val="16"/>
                <w:lang w:eastAsia="da-DK"/>
              </w:rPr>
            </w:pPr>
          </w:p>
        </w:tc>
        <w:tc>
          <w:tcPr>
            <w:tcW w:w="567" w:type="dxa"/>
            <w:vMerge/>
            <w:tcBorders>
              <w:left w:val="single" w:sz="2" w:space="0" w:color="auto"/>
              <w:bottom w:val="single" w:sz="2" w:space="0" w:color="auto"/>
              <w:right w:val="single" w:sz="2" w:space="0" w:color="auto"/>
            </w:tcBorders>
          </w:tcPr>
          <w:p w14:paraId="115C5B9A" w14:textId="77777777" w:rsidR="00B12C39" w:rsidRPr="004A7F1F" w:rsidRDefault="00B12C39" w:rsidP="00B12C39">
            <w:pPr>
              <w:keepNext/>
              <w:keepLines/>
              <w:widowControl/>
              <w:spacing w:before="54" w:after="54"/>
              <w:ind w:left="113"/>
              <w:jc w:val="center"/>
              <w:rPr>
                <w:b/>
                <w:bCs/>
                <w:sz w:val="16"/>
                <w:szCs w:val="16"/>
                <w:lang w:eastAsia="da-DK"/>
              </w:rPr>
            </w:pPr>
          </w:p>
        </w:tc>
        <w:tc>
          <w:tcPr>
            <w:tcW w:w="567" w:type="dxa"/>
            <w:vMerge/>
            <w:tcBorders>
              <w:left w:val="single" w:sz="2" w:space="0" w:color="auto"/>
              <w:bottom w:val="single" w:sz="2" w:space="0" w:color="auto"/>
              <w:right w:val="single" w:sz="2" w:space="0" w:color="auto"/>
            </w:tcBorders>
          </w:tcPr>
          <w:p w14:paraId="115C5B9B" w14:textId="77777777" w:rsidR="00B12C39" w:rsidRPr="004A7F1F" w:rsidRDefault="00B12C39" w:rsidP="00B12C39">
            <w:pPr>
              <w:keepNext/>
              <w:keepLines/>
              <w:widowControl/>
              <w:spacing w:before="54" w:after="54"/>
              <w:ind w:left="113"/>
              <w:jc w:val="center"/>
              <w:rPr>
                <w:b/>
                <w:bCs/>
                <w:sz w:val="16"/>
                <w:szCs w:val="16"/>
                <w:lang w:eastAsia="da-DK"/>
              </w:rPr>
            </w:pPr>
          </w:p>
        </w:tc>
        <w:tc>
          <w:tcPr>
            <w:tcW w:w="992" w:type="dxa"/>
            <w:tcBorders>
              <w:top w:val="single" w:sz="4" w:space="0" w:color="auto"/>
              <w:left w:val="single" w:sz="2" w:space="0" w:color="auto"/>
              <w:bottom w:val="single" w:sz="2" w:space="0" w:color="auto"/>
              <w:right w:val="single" w:sz="2" w:space="0" w:color="auto"/>
            </w:tcBorders>
          </w:tcPr>
          <w:p w14:paraId="115C5B9C" w14:textId="77777777" w:rsidR="00B12C39" w:rsidRPr="004A7F1F" w:rsidRDefault="00B12C39" w:rsidP="00B12C39">
            <w:pPr>
              <w:pStyle w:val="TableColumnHeader"/>
              <w:ind w:left="0"/>
              <w:rPr>
                <w:sz w:val="16"/>
                <w:szCs w:val="16"/>
              </w:rPr>
            </w:pPr>
            <w:r w:rsidRPr="004A7F1F">
              <w:rPr>
                <w:sz w:val="16"/>
                <w:szCs w:val="16"/>
              </w:rPr>
              <w:t>Hazard Class and Category Code(s)</w:t>
            </w:r>
          </w:p>
        </w:tc>
        <w:tc>
          <w:tcPr>
            <w:tcW w:w="992" w:type="dxa"/>
            <w:tcBorders>
              <w:top w:val="single" w:sz="4" w:space="0" w:color="auto"/>
              <w:left w:val="single" w:sz="2" w:space="0" w:color="auto"/>
              <w:bottom w:val="single" w:sz="2" w:space="0" w:color="auto"/>
              <w:right w:val="single" w:sz="2" w:space="0" w:color="auto"/>
            </w:tcBorders>
          </w:tcPr>
          <w:p w14:paraId="115C5B9D" w14:textId="77777777" w:rsidR="00B12C39" w:rsidRPr="004A7F1F" w:rsidRDefault="00B12C39" w:rsidP="00B12C39">
            <w:pPr>
              <w:pStyle w:val="TableColumnHeader"/>
              <w:ind w:left="0"/>
              <w:rPr>
                <w:sz w:val="16"/>
                <w:szCs w:val="16"/>
              </w:rPr>
            </w:pPr>
            <w:r w:rsidRPr="004A7F1F">
              <w:rPr>
                <w:sz w:val="16"/>
                <w:szCs w:val="16"/>
              </w:rPr>
              <w:t>Hazard statement code(s)</w:t>
            </w:r>
          </w:p>
        </w:tc>
        <w:tc>
          <w:tcPr>
            <w:tcW w:w="1134" w:type="dxa"/>
            <w:tcBorders>
              <w:top w:val="single" w:sz="4" w:space="0" w:color="auto"/>
              <w:left w:val="single" w:sz="2" w:space="0" w:color="auto"/>
              <w:bottom w:val="single" w:sz="2" w:space="0" w:color="auto"/>
              <w:right w:val="single" w:sz="2" w:space="0" w:color="auto"/>
            </w:tcBorders>
          </w:tcPr>
          <w:p w14:paraId="115C5B9E" w14:textId="77777777" w:rsidR="00B12C39" w:rsidRPr="004A7F1F" w:rsidRDefault="00B12C39" w:rsidP="00B12C39">
            <w:pPr>
              <w:pStyle w:val="TableColumnHeader"/>
              <w:ind w:left="0"/>
              <w:rPr>
                <w:sz w:val="16"/>
                <w:szCs w:val="16"/>
              </w:rPr>
            </w:pPr>
            <w:r w:rsidRPr="004A7F1F">
              <w:rPr>
                <w:sz w:val="16"/>
                <w:szCs w:val="16"/>
              </w:rPr>
              <w:t>Pictogram, Signal Word Code(s)</w:t>
            </w:r>
          </w:p>
        </w:tc>
        <w:tc>
          <w:tcPr>
            <w:tcW w:w="993" w:type="dxa"/>
            <w:tcBorders>
              <w:top w:val="single" w:sz="4" w:space="0" w:color="auto"/>
              <w:left w:val="single" w:sz="2" w:space="0" w:color="auto"/>
              <w:bottom w:val="single" w:sz="2" w:space="0" w:color="auto"/>
              <w:right w:val="single" w:sz="2" w:space="0" w:color="auto"/>
            </w:tcBorders>
          </w:tcPr>
          <w:p w14:paraId="115C5B9F" w14:textId="77777777" w:rsidR="00B12C39" w:rsidRPr="004A7F1F" w:rsidRDefault="00B12C39" w:rsidP="00B12C39">
            <w:pPr>
              <w:pStyle w:val="TableColumnHeader"/>
              <w:ind w:left="0"/>
              <w:rPr>
                <w:sz w:val="16"/>
                <w:szCs w:val="16"/>
              </w:rPr>
            </w:pPr>
            <w:r w:rsidRPr="004A7F1F">
              <w:rPr>
                <w:sz w:val="16"/>
                <w:szCs w:val="16"/>
              </w:rPr>
              <w:t>Hazard statement code(s)</w:t>
            </w:r>
          </w:p>
        </w:tc>
        <w:tc>
          <w:tcPr>
            <w:tcW w:w="1101" w:type="dxa"/>
            <w:tcBorders>
              <w:top w:val="single" w:sz="4" w:space="0" w:color="auto"/>
              <w:left w:val="single" w:sz="2" w:space="0" w:color="auto"/>
              <w:bottom w:val="single" w:sz="2" w:space="0" w:color="auto"/>
              <w:right w:val="single" w:sz="2" w:space="0" w:color="auto"/>
            </w:tcBorders>
          </w:tcPr>
          <w:p w14:paraId="115C5BA0" w14:textId="77777777" w:rsidR="00B12C39" w:rsidRPr="004A7F1F" w:rsidRDefault="00B12C39" w:rsidP="00B12C39">
            <w:pPr>
              <w:pStyle w:val="TableColumnHeader"/>
              <w:ind w:left="0"/>
              <w:rPr>
                <w:sz w:val="16"/>
                <w:szCs w:val="16"/>
              </w:rPr>
            </w:pPr>
            <w:r w:rsidRPr="004A7F1F">
              <w:rPr>
                <w:sz w:val="16"/>
                <w:szCs w:val="16"/>
              </w:rPr>
              <w:t>Suppl. Hazard statement code(s)</w:t>
            </w:r>
          </w:p>
        </w:tc>
        <w:tc>
          <w:tcPr>
            <w:tcW w:w="774" w:type="dxa"/>
            <w:vMerge/>
            <w:tcBorders>
              <w:left w:val="single" w:sz="2" w:space="0" w:color="auto"/>
              <w:bottom w:val="single" w:sz="2" w:space="0" w:color="auto"/>
              <w:right w:val="single" w:sz="2" w:space="0" w:color="auto"/>
            </w:tcBorders>
          </w:tcPr>
          <w:p w14:paraId="115C5BA1" w14:textId="77777777" w:rsidR="00B12C39" w:rsidRPr="004A7F1F" w:rsidRDefault="00B12C39" w:rsidP="00B12C39">
            <w:pPr>
              <w:widowControl/>
              <w:spacing w:before="60" w:after="60"/>
              <w:jc w:val="both"/>
              <w:rPr>
                <w:b/>
                <w:sz w:val="16"/>
                <w:szCs w:val="16"/>
                <w:lang w:eastAsia="en-US"/>
              </w:rPr>
            </w:pPr>
          </w:p>
        </w:tc>
        <w:tc>
          <w:tcPr>
            <w:tcW w:w="643" w:type="dxa"/>
            <w:vMerge/>
            <w:tcBorders>
              <w:left w:val="single" w:sz="2" w:space="0" w:color="auto"/>
              <w:bottom w:val="single" w:sz="2" w:space="0" w:color="auto"/>
              <w:right w:val="single" w:sz="2" w:space="0" w:color="auto"/>
            </w:tcBorders>
          </w:tcPr>
          <w:p w14:paraId="115C5BA2" w14:textId="77777777" w:rsidR="00B12C39" w:rsidRPr="004A7F1F" w:rsidRDefault="00B12C39" w:rsidP="00B12C39">
            <w:pPr>
              <w:widowControl/>
              <w:spacing w:before="60" w:after="60"/>
              <w:jc w:val="both"/>
              <w:rPr>
                <w:b/>
                <w:sz w:val="16"/>
                <w:szCs w:val="16"/>
                <w:lang w:eastAsia="en-US"/>
              </w:rPr>
            </w:pPr>
          </w:p>
        </w:tc>
      </w:tr>
      <w:tr w:rsidR="00B12C39" w:rsidRPr="004A7F1F" w14:paraId="115C5BAF" w14:textId="77777777" w:rsidTr="003B3C62">
        <w:trPr>
          <w:cantSplit/>
          <w:jc w:val="center"/>
        </w:trPr>
        <w:tc>
          <w:tcPr>
            <w:tcW w:w="677" w:type="dxa"/>
            <w:tcBorders>
              <w:top w:val="single" w:sz="2" w:space="0" w:color="auto"/>
              <w:left w:val="single" w:sz="2" w:space="0" w:color="auto"/>
              <w:bottom w:val="single" w:sz="2" w:space="0" w:color="auto"/>
              <w:right w:val="single" w:sz="2" w:space="0" w:color="auto"/>
            </w:tcBorders>
          </w:tcPr>
          <w:p w14:paraId="115C5BA4" w14:textId="600F663F" w:rsidR="00B12C39" w:rsidRPr="004A7F1F" w:rsidRDefault="00467EF2">
            <w:pPr>
              <w:keepNext/>
              <w:keepLines/>
              <w:widowControl/>
              <w:spacing w:before="54" w:after="54"/>
              <w:ind w:left="113"/>
              <w:jc w:val="both"/>
              <w:rPr>
                <w:szCs w:val="24"/>
                <w:lang w:eastAsia="da-DK"/>
              </w:rPr>
            </w:pPr>
            <w:r w:rsidRPr="004A7F1F">
              <w:rPr>
                <w:sz w:val="18"/>
                <w:szCs w:val="18"/>
              </w:rPr>
              <w:t>601-0</w:t>
            </w:r>
            <w:r w:rsidR="00A6120B" w:rsidRPr="004A7F1F">
              <w:rPr>
                <w:sz w:val="18"/>
                <w:szCs w:val="18"/>
              </w:rPr>
              <w:t>48</w:t>
            </w:r>
            <w:r w:rsidRPr="004A7F1F">
              <w:rPr>
                <w:sz w:val="18"/>
                <w:szCs w:val="18"/>
              </w:rPr>
              <w:t>-00-</w:t>
            </w:r>
            <w:r w:rsidR="00A6120B" w:rsidRPr="004A7F1F">
              <w:rPr>
                <w:sz w:val="18"/>
                <w:szCs w:val="18"/>
              </w:rPr>
              <w:t>0</w:t>
            </w:r>
          </w:p>
        </w:tc>
        <w:tc>
          <w:tcPr>
            <w:tcW w:w="1418" w:type="dxa"/>
            <w:tcBorders>
              <w:top w:val="single" w:sz="2" w:space="0" w:color="auto"/>
              <w:left w:val="single" w:sz="2" w:space="0" w:color="auto"/>
              <w:bottom w:val="single" w:sz="2" w:space="0" w:color="auto"/>
              <w:right w:val="single" w:sz="2" w:space="0" w:color="auto"/>
            </w:tcBorders>
          </w:tcPr>
          <w:p w14:paraId="115C5BA5" w14:textId="73FCE07A" w:rsidR="00B12C39" w:rsidRPr="004A7F1F" w:rsidRDefault="00805F7E" w:rsidP="003B3C62">
            <w:pPr>
              <w:keepNext/>
              <w:keepLines/>
              <w:widowControl/>
              <w:spacing w:before="54" w:after="54"/>
              <w:ind w:left="113"/>
              <w:jc w:val="center"/>
              <w:rPr>
                <w:szCs w:val="24"/>
                <w:lang w:eastAsia="da-DK"/>
              </w:rPr>
            </w:pPr>
            <w:r w:rsidRPr="004A7F1F">
              <w:rPr>
                <w:sz w:val="18"/>
                <w:szCs w:val="18"/>
              </w:rPr>
              <w:t>Chrysene</w:t>
            </w:r>
          </w:p>
        </w:tc>
        <w:tc>
          <w:tcPr>
            <w:tcW w:w="567" w:type="dxa"/>
            <w:tcBorders>
              <w:top w:val="single" w:sz="2" w:space="0" w:color="auto"/>
              <w:left w:val="single" w:sz="2" w:space="0" w:color="auto"/>
              <w:bottom w:val="single" w:sz="2" w:space="0" w:color="auto"/>
              <w:right w:val="single" w:sz="2" w:space="0" w:color="auto"/>
            </w:tcBorders>
          </w:tcPr>
          <w:p w14:paraId="115C5BA6" w14:textId="78269E53" w:rsidR="00B12C39" w:rsidRPr="004A7F1F" w:rsidRDefault="00467EF2">
            <w:pPr>
              <w:keepNext/>
              <w:keepLines/>
              <w:widowControl/>
              <w:spacing w:before="54" w:after="54"/>
              <w:ind w:left="113"/>
              <w:jc w:val="both"/>
              <w:rPr>
                <w:szCs w:val="24"/>
                <w:lang w:eastAsia="da-DK"/>
              </w:rPr>
            </w:pPr>
            <w:r w:rsidRPr="004A7F1F">
              <w:rPr>
                <w:sz w:val="18"/>
                <w:szCs w:val="18"/>
              </w:rPr>
              <w:t>20</w:t>
            </w:r>
            <w:r w:rsidR="00805F7E" w:rsidRPr="004A7F1F">
              <w:rPr>
                <w:sz w:val="18"/>
                <w:szCs w:val="18"/>
              </w:rPr>
              <w:t>5</w:t>
            </w:r>
            <w:r w:rsidRPr="004A7F1F">
              <w:rPr>
                <w:sz w:val="18"/>
                <w:szCs w:val="18"/>
              </w:rPr>
              <w:t>-</w:t>
            </w:r>
            <w:r w:rsidR="00805F7E" w:rsidRPr="004A7F1F">
              <w:rPr>
                <w:sz w:val="18"/>
                <w:szCs w:val="18"/>
              </w:rPr>
              <w:t>923</w:t>
            </w:r>
            <w:r w:rsidRPr="004A7F1F">
              <w:rPr>
                <w:sz w:val="18"/>
                <w:szCs w:val="18"/>
              </w:rPr>
              <w:t>-</w:t>
            </w:r>
            <w:r w:rsidR="00805F7E" w:rsidRPr="004A7F1F">
              <w:rPr>
                <w:sz w:val="18"/>
                <w:szCs w:val="18"/>
              </w:rPr>
              <w:t>4</w:t>
            </w:r>
          </w:p>
        </w:tc>
        <w:tc>
          <w:tcPr>
            <w:tcW w:w="567" w:type="dxa"/>
            <w:tcBorders>
              <w:top w:val="single" w:sz="2" w:space="0" w:color="auto"/>
              <w:left w:val="single" w:sz="2" w:space="0" w:color="auto"/>
              <w:bottom w:val="single" w:sz="2" w:space="0" w:color="auto"/>
              <w:right w:val="single" w:sz="2" w:space="0" w:color="auto"/>
            </w:tcBorders>
          </w:tcPr>
          <w:p w14:paraId="115C5BA7" w14:textId="4477FACB" w:rsidR="00B12C39" w:rsidRPr="004A7F1F" w:rsidRDefault="00805F7E">
            <w:pPr>
              <w:keepNext/>
              <w:keepLines/>
              <w:widowControl/>
              <w:spacing w:before="54" w:after="54"/>
              <w:ind w:left="113"/>
              <w:jc w:val="both"/>
              <w:rPr>
                <w:szCs w:val="24"/>
                <w:lang w:eastAsia="da-DK"/>
              </w:rPr>
            </w:pPr>
            <w:r w:rsidRPr="004A7F1F">
              <w:rPr>
                <w:sz w:val="18"/>
                <w:szCs w:val="18"/>
              </w:rPr>
              <w:t>218</w:t>
            </w:r>
            <w:r w:rsidR="00467EF2" w:rsidRPr="004A7F1F">
              <w:rPr>
                <w:sz w:val="18"/>
                <w:szCs w:val="18"/>
              </w:rPr>
              <w:t>-</w:t>
            </w:r>
            <w:r w:rsidRPr="004A7F1F">
              <w:rPr>
                <w:sz w:val="18"/>
                <w:szCs w:val="18"/>
              </w:rPr>
              <w:t>01</w:t>
            </w:r>
            <w:r w:rsidR="00467EF2" w:rsidRPr="004A7F1F">
              <w:rPr>
                <w:sz w:val="18"/>
                <w:szCs w:val="18"/>
              </w:rPr>
              <w:t>-</w:t>
            </w:r>
            <w:r w:rsidRPr="004A7F1F">
              <w:rPr>
                <w:sz w:val="18"/>
                <w:szCs w:val="18"/>
              </w:rPr>
              <w:t>9</w:t>
            </w:r>
          </w:p>
        </w:tc>
        <w:tc>
          <w:tcPr>
            <w:tcW w:w="992" w:type="dxa"/>
            <w:tcBorders>
              <w:top w:val="single" w:sz="2" w:space="0" w:color="auto"/>
              <w:left w:val="single" w:sz="2" w:space="0" w:color="auto"/>
              <w:bottom w:val="single" w:sz="2" w:space="0" w:color="auto"/>
              <w:right w:val="single" w:sz="2" w:space="0" w:color="auto"/>
            </w:tcBorders>
          </w:tcPr>
          <w:p w14:paraId="1E88F987" w14:textId="399C000F" w:rsidR="00B12C39" w:rsidRPr="00EE622A" w:rsidRDefault="00467EF2" w:rsidP="00B12C39">
            <w:pPr>
              <w:keepNext/>
              <w:keepLines/>
              <w:widowControl/>
              <w:spacing w:before="54" w:after="54"/>
              <w:ind w:left="113"/>
              <w:jc w:val="both"/>
              <w:rPr>
                <w:sz w:val="18"/>
                <w:szCs w:val="24"/>
                <w:lang w:eastAsia="da-DK"/>
              </w:rPr>
            </w:pPr>
            <w:proofErr w:type="spellStart"/>
            <w:r w:rsidRPr="00EE622A">
              <w:rPr>
                <w:sz w:val="18"/>
                <w:szCs w:val="24"/>
                <w:lang w:eastAsia="da-DK"/>
              </w:rPr>
              <w:t>Carc</w:t>
            </w:r>
            <w:proofErr w:type="spellEnd"/>
            <w:r w:rsidRPr="00EE622A">
              <w:rPr>
                <w:sz w:val="18"/>
                <w:szCs w:val="24"/>
                <w:lang w:eastAsia="da-DK"/>
              </w:rPr>
              <w:t xml:space="preserve">. </w:t>
            </w:r>
            <w:r w:rsidR="00A356D9" w:rsidRPr="00EE622A">
              <w:rPr>
                <w:sz w:val="18"/>
                <w:szCs w:val="24"/>
                <w:lang w:eastAsia="da-DK"/>
              </w:rPr>
              <w:t>1B</w:t>
            </w:r>
          </w:p>
          <w:p w14:paraId="7988EB08" w14:textId="14AD890C" w:rsidR="003D5370" w:rsidRPr="00EE622A" w:rsidRDefault="003D5370" w:rsidP="00B12C39">
            <w:pPr>
              <w:keepNext/>
              <w:keepLines/>
              <w:widowControl/>
              <w:spacing w:before="54" w:after="54"/>
              <w:ind w:left="113"/>
              <w:jc w:val="both"/>
              <w:rPr>
                <w:sz w:val="18"/>
                <w:szCs w:val="24"/>
                <w:lang w:eastAsia="da-DK"/>
              </w:rPr>
            </w:pPr>
            <w:proofErr w:type="spellStart"/>
            <w:r w:rsidRPr="00EE622A">
              <w:rPr>
                <w:sz w:val="18"/>
                <w:szCs w:val="24"/>
                <w:lang w:eastAsia="da-DK"/>
              </w:rPr>
              <w:t>Muta</w:t>
            </w:r>
            <w:proofErr w:type="spellEnd"/>
            <w:r w:rsidRPr="00EE622A">
              <w:rPr>
                <w:sz w:val="18"/>
                <w:szCs w:val="24"/>
                <w:lang w:eastAsia="da-DK"/>
              </w:rPr>
              <w:t>. 2</w:t>
            </w:r>
          </w:p>
          <w:p w14:paraId="3C6F3899" w14:textId="77777777" w:rsidR="00467EF2" w:rsidRPr="00EE622A" w:rsidRDefault="00467EF2" w:rsidP="00B12C39">
            <w:pPr>
              <w:keepNext/>
              <w:keepLines/>
              <w:widowControl/>
              <w:spacing w:before="54" w:after="54"/>
              <w:ind w:left="113"/>
              <w:jc w:val="both"/>
              <w:rPr>
                <w:sz w:val="18"/>
                <w:szCs w:val="24"/>
                <w:lang w:eastAsia="da-DK"/>
              </w:rPr>
            </w:pPr>
            <w:r w:rsidRPr="00EE622A">
              <w:rPr>
                <w:sz w:val="18"/>
                <w:szCs w:val="24"/>
                <w:lang w:eastAsia="da-DK"/>
              </w:rPr>
              <w:t>Aquatic Acute 1</w:t>
            </w:r>
          </w:p>
          <w:p w14:paraId="115C5BA8" w14:textId="1CD8B4DA" w:rsidR="00467EF2" w:rsidRPr="00EE622A" w:rsidRDefault="00467EF2" w:rsidP="00B12C39">
            <w:pPr>
              <w:keepNext/>
              <w:keepLines/>
              <w:widowControl/>
              <w:spacing w:before="54" w:after="54"/>
              <w:ind w:left="113"/>
              <w:jc w:val="both"/>
              <w:rPr>
                <w:sz w:val="18"/>
                <w:szCs w:val="24"/>
                <w:lang w:eastAsia="da-DK"/>
              </w:rPr>
            </w:pPr>
            <w:r w:rsidRPr="00EE622A">
              <w:rPr>
                <w:sz w:val="18"/>
                <w:szCs w:val="24"/>
                <w:lang w:eastAsia="da-DK"/>
              </w:rPr>
              <w:t>Aquatic Chronic 1</w:t>
            </w:r>
          </w:p>
        </w:tc>
        <w:tc>
          <w:tcPr>
            <w:tcW w:w="992" w:type="dxa"/>
            <w:tcBorders>
              <w:top w:val="single" w:sz="2" w:space="0" w:color="auto"/>
              <w:left w:val="single" w:sz="2" w:space="0" w:color="auto"/>
              <w:bottom w:val="single" w:sz="2" w:space="0" w:color="auto"/>
              <w:right w:val="single" w:sz="2" w:space="0" w:color="auto"/>
            </w:tcBorders>
          </w:tcPr>
          <w:p w14:paraId="409EC4FE" w14:textId="77777777" w:rsidR="00B12C39" w:rsidRPr="00EE622A" w:rsidRDefault="00467EF2" w:rsidP="00B12C39">
            <w:pPr>
              <w:keepNext/>
              <w:keepLines/>
              <w:widowControl/>
              <w:spacing w:before="54" w:after="54"/>
              <w:ind w:left="113"/>
              <w:jc w:val="both"/>
              <w:rPr>
                <w:sz w:val="18"/>
                <w:szCs w:val="24"/>
                <w:lang w:eastAsia="da-DK"/>
              </w:rPr>
            </w:pPr>
            <w:r w:rsidRPr="00EE622A">
              <w:rPr>
                <w:sz w:val="18"/>
                <w:szCs w:val="24"/>
                <w:lang w:eastAsia="da-DK"/>
              </w:rPr>
              <w:t>H350</w:t>
            </w:r>
          </w:p>
          <w:p w14:paraId="3D0F3488" w14:textId="77777777" w:rsidR="00467EF2" w:rsidRPr="00EE622A" w:rsidRDefault="00467EF2" w:rsidP="00B12C39">
            <w:pPr>
              <w:keepNext/>
              <w:keepLines/>
              <w:widowControl/>
              <w:spacing w:before="54" w:after="54"/>
              <w:ind w:left="113"/>
              <w:jc w:val="both"/>
              <w:rPr>
                <w:sz w:val="18"/>
                <w:szCs w:val="24"/>
                <w:lang w:eastAsia="da-DK"/>
              </w:rPr>
            </w:pPr>
          </w:p>
          <w:p w14:paraId="606F3DA4" w14:textId="6245E164" w:rsidR="003D5370" w:rsidRPr="00EE622A" w:rsidRDefault="003D5370" w:rsidP="00B12C39">
            <w:pPr>
              <w:keepNext/>
              <w:keepLines/>
              <w:widowControl/>
              <w:spacing w:before="54" w:after="54"/>
              <w:ind w:left="113"/>
              <w:jc w:val="both"/>
              <w:rPr>
                <w:sz w:val="18"/>
                <w:szCs w:val="24"/>
                <w:lang w:eastAsia="da-DK"/>
              </w:rPr>
            </w:pPr>
            <w:r w:rsidRPr="00EE622A">
              <w:rPr>
                <w:sz w:val="18"/>
                <w:szCs w:val="24"/>
                <w:lang w:eastAsia="da-DK"/>
              </w:rPr>
              <w:t>H341</w:t>
            </w:r>
          </w:p>
          <w:p w14:paraId="269CA3D5" w14:textId="77777777" w:rsidR="003D5370" w:rsidRPr="00EE622A" w:rsidRDefault="003D5370" w:rsidP="00B12C39">
            <w:pPr>
              <w:keepNext/>
              <w:keepLines/>
              <w:widowControl/>
              <w:spacing w:before="54" w:after="54"/>
              <w:ind w:left="113"/>
              <w:jc w:val="both"/>
              <w:rPr>
                <w:sz w:val="18"/>
                <w:szCs w:val="24"/>
                <w:lang w:eastAsia="da-DK"/>
              </w:rPr>
            </w:pPr>
          </w:p>
          <w:p w14:paraId="0B5F1F40" w14:textId="77777777" w:rsidR="00467EF2" w:rsidRPr="00EE622A" w:rsidRDefault="00467EF2" w:rsidP="00B12C39">
            <w:pPr>
              <w:keepNext/>
              <w:keepLines/>
              <w:widowControl/>
              <w:spacing w:before="54" w:after="54"/>
              <w:ind w:left="113"/>
              <w:jc w:val="both"/>
              <w:rPr>
                <w:sz w:val="18"/>
                <w:szCs w:val="24"/>
                <w:lang w:eastAsia="da-DK"/>
              </w:rPr>
            </w:pPr>
            <w:r w:rsidRPr="00EE622A">
              <w:rPr>
                <w:sz w:val="18"/>
                <w:szCs w:val="24"/>
                <w:lang w:eastAsia="da-DK"/>
              </w:rPr>
              <w:t>H400</w:t>
            </w:r>
          </w:p>
          <w:p w14:paraId="08969858" w14:textId="77777777" w:rsidR="00467EF2" w:rsidRPr="00EE622A" w:rsidRDefault="00467EF2" w:rsidP="00B12C39">
            <w:pPr>
              <w:keepNext/>
              <w:keepLines/>
              <w:widowControl/>
              <w:spacing w:before="54" w:after="54"/>
              <w:ind w:left="113"/>
              <w:jc w:val="both"/>
              <w:rPr>
                <w:sz w:val="18"/>
                <w:szCs w:val="24"/>
                <w:lang w:eastAsia="da-DK"/>
              </w:rPr>
            </w:pPr>
          </w:p>
          <w:p w14:paraId="115C5BA9" w14:textId="145F0FD5" w:rsidR="00467EF2" w:rsidRPr="00EE622A" w:rsidRDefault="00467EF2" w:rsidP="00B12C39">
            <w:pPr>
              <w:keepNext/>
              <w:keepLines/>
              <w:widowControl/>
              <w:spacing w:before="54" w:after="54"/>
              <w:ind w:left="113"/>
              <w:jc w:val="both"/>
              <w:rPr>
                <w:sz w:val="18"/>
                <w:szCs w:val="24"/>
                <w:lang w:eastAsia="da-DK"/>
              </w:rPr>
            </w:pPr>
            <w:r w:rsidRPr="00EE622A">
              <w:rPr>
                <w:sz w:val="18"/>
                <w:szCs w:val="24"/>
                <w:lang w:eastAsia="da-DK"/>
              </w:rPr>
              <w:t>H410</w:t>
            </w:r>
          </w:p>
        </w:tc>
        <w:tc>
          <w:tcPr>
            <w:tcW w:w="1134" w:type="dxa"/>
            <w:tcBorders>
              <w:top w:val="single" w:sz="2" w:space="0" w:color="auto"/>
              <w:left w:val="single" w:sz="2" w:space="0" w:color="auto"/>
              <w:bottom w:val="single" w:sz="2" w:space="0" w:color="auto"/>
              <w:right w:val="single" w:sz="2" w:space="0" w:color="auto"/>
            </w:tcBorders>
          </w:tcPr>
          <w:p w14:paraId="581AD9BA" w14:textId="77777777" w:rsidR="00B12C39" w:rsidRPr="00EE622A" w:rsidRDefault="009B7059" w:rsidP="00B12C39">
            <w:pPr>
              <w:keepNext/>
              <w:keepLines/>
              <w:widowControl/>
              <w:spacing w:before="54" w:after="54"/>
              <w:ind w:left="113"/>
              <w:jc w:val="both"/>
              <w:rPr>
                <w:sz w:val="18"/>
                <w:szCs w:val="24"/>
                <w:lang w:eastAsia="da-DK"/>
              </w:rPr>
            </w:pPr>
            <w:r w:rsidRPr="00EE622A">
              <w:rPr>
                <w:sz w:val="18"/>
                <w:szCs w:val="24"/>
                <w:lang w:eastAsia="da-DK"/>
              </w:rPr>
              <w:t>GHS08</w:t>
            </w:r>
          </w:p>
          <w:p w14:paraId="6C593049" w14:textId="77777777" w:rsidR="009B7059" w:rsidRPr="00EE622A" w:rsidRDefault="009B7059" w:rsidP="00B12C39">
            <w:pPr>
              <w:keepNext/>
              <w:keepLines/>
              <w:widowControl/>
              <w:spacing w:before="54" w:after="54"/>
              <w:ind w:left="113"/>
              <w:jc w:val="both"/>
              <w:rPr>
                <w:sz w:val="18"/>
                <w:szCs w:val="24"/>
                <w:lang w:eastAsia="da-DK"/>
              </w:rPr>
            </w:pPr>
          </w:p>
          <w:p w14:paraId="349E57CE" w14:textId="77777777" w:rsidR="009B7059" w:rsidRPr="00EE622A" w:rsidRDefault="009B7059" w:rsidP="00B12C39">
            <w:pPr>
              <w:keepNext/>
              <w:keepLines/>
              <w:widowControl/>
              <w:spacing w:before="54" w:after="54"/>
              <w:ind w:left="113"/>
              <w:jc w:val="both"/>
              <w:rPr>
                <w:sz w:val="18"/>
                <w:szCs w:val="24"/>
                <w:lang w:eastAsia="da-DK"/>
              </w:rPr>
            </w:pPr>
            <w:r w:rsidRPr="00EE622A">
              <w:rPr>
                <w:sz w:val="18"/>
                <w:szCs w:val="24"/>
                <w:lang w:eastAsia="da-DK"/>
              </w:rPr>
              <w:t>GHS09</w:t>
            </w:r>
          </w:p>
          <w:p w14:paraId="17E2DA24" w14:textId="77777777" w:rsidR="009B7059" w:rsidRPr="00EE622A" w:rsidRDefault="009B7059" w:rsidP="00B12C39">
            <w:pPr>
              <w:keepNext/>
              <w:keepLines/>
              <w:widowControl/>
              <w:spacing w:before="54" w:after="54"/>
              <w:ind w:left="113"/>
              <w:jc w:val="both"/>
              <w:rPr>
                <w:sz w:val="18"/>
                <w:szCs w:val="24"/>
                <w:lang w:eastAsia="da-DK"/>
              </w:rPr>
            </w:pPr>
          </w:p>
          <w:p w14:paraId="115C5BAA" w14:textId="74D75F15" w:rsidR="009B7059" w:rsidRPr="00EE622A" w:rsidRDefault="009B7059" w:rsidP="00B12C39">
            <w:pPr>
              <w:keepNext/>
              <w:keepLines/>
              <w:widowControl/>
              <w:spacing w:before="54" w:after="54"/>
              <w:ind w:left="113"/>
              <w:jc w:val="both"/>
              <w:rPr>
                <w:sz w:val="18"/>
                <w:szCs w:val="24"/>
                <w:lang w:eastAsia="da-DK"/>
              </w:rPr>
            </w:pPr>
            <w:proofErr w:type="spellStart"/>
            <w:r w:rsidRPr="00EE622A">
              <w:rPr>
                <w:sz w:val="18"/>
                <w:szCs w:val="24"/>
                <w:lang w:eastAsia="da-DK"/>
              </w:rPr>
              <w:t>Dgr</w:t>
            </w:r>
            <w:proofErr w:type="spellEnd"/>
          </w:p>
        </w:tc>
        <w:tc>
          <w:tcPr>
            <w:tcW w:w="993" w:type="dxa"/>
            <w:tcBorders>
              <w:top w:val="single" w:sz="2" w:space="0" w:color="auto"/>
              <w:left w:val="single" w:sz="2" w:space="0" w:color="auto"/>
              <w:bottom w:val="single" w:sz="2" w:space="0" w:color="auto"/>
              <w:right w:val="single" w:sz="2" w:space="0" w:color="auto"/>
            </w:tcBorders>
          </w:tcPr>
          <w:p w14:paraId="7B302653" w14:textId="77777777" w:rsidR="00B12C39" w:rsidRPr="00EE622A" w:rsidRDefault="00467EF2" w:rsidP="00B12C39">
            <w:pPr>
              <w:keepNext/>
              <w:keepLines/>
              <w:widowControl/>
              <w:spacing w:before="54" w:after="54"/>
              <w:ind w:left="113"/>
              <w:jc w:val="both"/>
              <w:rPr>
                <w:sz w:val="18"/>
                <w:szCs w:val="24"/>
                <w:lang w:eastAsia="da-DK"/>
              </w:rPr>
            </w:pPr>
            <w:r w:rsidRPr="00EE622A">
              <w:rPr>
                <w:sz w:val="18"/>
                <w:szCs w:val="24"/>
                <w:lang w:eastAsia="da-DK"/>
              </w:rPr>
              <w:t>H350</w:t>
            </w:r>
          </w:p>
          <w:p w14:paraId="013B4567" w14:textId="77777777" w:rsidR="00467EF2" w:rsidRPr="00EE622A" w:rsidRDefault="00467EF2" w:rsidP="00B12C39">
            <w:pPr>
              <w:keepNext/>
              <w:keepLines/>
              <w:widowControl/>
              <w:spacing w:before="54" w:after="54"/>
              <w:ind w:left="113"/>
              <w:jc w:val="both"/>
              <w:rPr>
                <w:sz w:val="18"/>
                <w:szCs w:val="24"/>
                <w:lang w:eastAsia="da-DK"/>
              </w:rPr>
            </w:pPr>
          </w:p>
          <w:p w14:paraId="59E22EA6" w14:textId="2DE4B051" w:rsidR="00467EF2" w:rsidRPr="00EE622A" w:rsidRDefault="003D5370" w:rsidP="00B12C39">
            <w:pPr>
              <w:keepNext/>
              <w:keepLines/>
              <w:widowControl/>
              <w:spacing w:before="54" w:after="54"/>
              <w:ind w:left="113"/>
              <w:jc w:val="both"/>
              <w:rPr>
                <w:sz w:val="18"/>
                <w:szCs w:val="24"/>
                <w:lang w:eastAsia="da-DK"/>
              </w:rPr>
            </w:pPr>
            <w:r w:rsidRPr="00EE622A">
              <w:rPr>
                <w:sz w:val="18"/>
                <w:szCs w:val="24"/>
                <w:lang w:eastAsia="da-DK"/>
              </w:rPr>
              <w:t>H341</w:t>
            </w:r>
          </w:p>
          <w:p w14:paraId="552472EB" w14:textId="77777777" w:rsidR="00467EF2" w:rsidRPr="00EE622A" w:rsidRDefault="00467EF2" w:rsidP="00B12C39">
            <w:pPr>
              <w:keepNext/>
              <w:keepLines/>
              <w:widowControl/>
              <w:spacing w:before="54" w:after="54"/>
              <w:ind w:left="113"/>
              <w:jc w:val="both"/>
              <w:rPr>
                <w:sz w:val="18"/>
                <w:szCs w:val="24"/>
                <w:lang w:eastAsia="da-DK"/>
              </w:rPr>
            </w:pPr>
          </w:p>
          <w:p w14:paraId="115C5BAB" w14:textId="725973CA" w:rsidR="00467EF2" w:rsidRPr="00EE622A" w:rsidRDefault="00467EF2" w:rsidP="00B12C39">
            <w:pPr>
              <w:keepNext/>
              <w:keepLines/>
              <w:widowControl/>
              <w:spacing w:before="54" w:after="54"/>
              <w:ind w:left="113"/>
              <w:jc w:val="both"/>
              <w:rPr>
                <w:sz w:val="18"/>
                <w:szCs w:val="24"/>
                <w:lang w:eastAsia="da-DK"/>
              </w:rPr>
            </w:pPr>
            <w:r w:rsidRPr="00EE622A">
              <w:rPr>
                <w:sz w:val="18"/>
                <w:szCs w:val="24"/>
                <w:lang w:eastAsia="da-DK"/>
              </w:rPr>
              <w:t>H410</w:t>
            </w:r>
          </w:p>
        </w:tc>
        <w:tc>
          <w:tcPr>
            <w:tcW w:w="1101" w:type="dxa"/>
            <w:tcBorders>
              <w:top w:val="single" w:sz="2" w:space="0" w:color="auto"/>
              <w:left w:val="single" w:sz="2" w:space="0" w:color="auto"/>
              <w:bottom w:val="single" w:sz="2" w:space="0" w:color="auto"/>
              <w:right w:val="single" w:sz="2" w:space="0" w:color="auto"/>
            </w:tcBorders>
          </w:tcPr>
          <w:p w14:paraId="115C5BAC" w14:textId="1BD4BF18" w:rsidR="00467EF2" w:rsidRPr="004A7F1F" w:rsidRDefault="00467EF2" w:rsidP="00B12C39">
            <w:pPr>
              <w:keepNext/>
              <w:keepLines/>
              <w:widowControl/>
              <w:spacing w:before="54" w:after="54"/>
              <w:ind w:left="113"/>
              <w:jc w:val="both"/>
              <w:rPr>
                <w:sz w:val="16"/>
                <w:szCs w:val="16"/>
                <w:lang w:eastAsia="da-DK"/>
              </w:rPr>
            </w:pPr>
          </w:p>
        </w:tc>
        <w:tc>
          <w:tcPr>
            <w:tcW w:w="774" w:type="dxa"/>
            <w:tcBorders>
              <w:top w:val="single" w:sz="2" w:space="0" w:color="auto"/>
              <w:left w:val="single" w:sz="2" w:space="0" w:color="auto"/>
              <w:bottom w:val="single" w:sz="2" w:space="0" w:color="auto"/>
              <w:right w:val="single" w:sz="2" w:space="0" w:color="auto"/>
            </w:tcBorders>
          </w:tcPr>
          <w:p w14:paraId="115C5BAD" w14:textId="394CD7FC" w:rsidR="00B12C39" w:rsidRPr="004A7F1F" w:rsidRDefault="00B12C39" w:rsidP="00B12C39">
            <w:pPr>
              <w:keepNext/>
              <w:keepLines/>
              <w:widowControl/>
              <w:spacing w:before="54" w:after="54"/>
              <w:ind w:left="113"/>
              <w:jc w:val="both"/>
              <w:rPr>
                <w:sz w:val="16"/>
                <w:szCs w:val="16"/>
                <w:lang w:eastAsia="da-DK"/>
              </w:rPr>
            </w:pPr>
          </w:p>
        </w:tc>
        <w:tc>
          <w:tcPr>
            <w:tcW w:w="643" w:type="dxa"/>
            <w:tcBorders>
              <w:top w:val="single" w:sz="2" w:space="0" w:color="auto"/>
              <w:left w:val="single" w:sz="2" w:space="0" w:color="auto"/>
              <w:bottom w:val="single" w:sz="2" w:space="0" w:color="auto"/>
              <w:right w:val="single" w:sz="2" w:space="0" w:color="auto"/>
            </w:tcBorders>
          </w:tcPr>
          <w:p w14:paraId="115C5BAE" w14:textId="77777777" w:rsidR="00B12C39" w:rsidRPr="004A7F1F" w:rsidRDefault="00B12C39" w:rsidP="00B12C39">
            <w:pPr>
              <w:keepNext/>
              <w:keepLines/>
              <w:widowControl/>
              <w:spacing w:before="54" w:after="54"/>
              <w:ind w:left="113"/>
              <w:jc w:val="both"/>
              <w:rPr>
                <w:sz w:val="16"/>
                <w:szCs w:val="16"/>
                <w:lang w:eastAsia="da-DK"/>
              </w:rPr>
            </w:pPr>
          </w:p>
        </w:tc>
      </w:tr>
    </w:tbl>
    <w:p w14:paraId="115C5BB0" w14:textId="399B5A45" w:rsidR="00B12C39" w:rsidRPr="004A7F1F" w:rsidRDefault="00B12C39" w:rsidP="00B12C39">
      <w:pPr>
        <w:widowControl/>
        <w:spacing w:after="180"/>
        <w:jc w:val="both"/>
        <w:rPr>
          <w:rFonts w:eastAsia="SimSun"/>
          <w:szCs w:val="24"/>
          <w:lang w:eastAsia="zh-CN"/>
        </w:rPr>
      </w:pPr>
    </w:p>
    <w:bookmarkEnd w:id="150"/>
    <w:bookmarkEnd w:id="151"/>
    <w:bookmarkEnd w:id="152"/>
    <w:p w14:paraId="115C5BB1" w14:textId="77777777" w:rsidR="00B12C39" w:rsidRPr="004A7F1F" w:rsidRDefault="00B12C39" w:rsidP="00B12C39">
      <w:pPr>
        <w:widowControl/>
        <w:autoSpaceDE w:val="0"/>
        <w:autoSpaceDN w:val="0"/>
        <w:adjustRightInd w:val="0"/>
        <w:rPr>
          <w:rFonts w:cs="Verdana"/>
          <w:sz w:val="19"/>
          <w:szCs w:val="19"/>
          <w:lang w:eastAsia="en-GB"/>
        </w:rPr>
      </w:pPr>
    </w:p>
    <w:p w14:paraId="115C5BB2" w14:textId="77777777" w:rsidR="00B12C39" w:rsidRPr="004A7F1F" w:rsidRDefault="00B12C39" w:rsidP="00B12C39">
      <w:pPr>
        <w:pStyle w:val="Heading1"/>
      </w:pPr>
      <w:r w:rsidRPr="004A7F1F">
        <w:br w:type="page"/>
      </w:r>
      <w:bookmarkStart w:id="160" w:name="_Toc341888508"/>
      <w:bookmarkStart w:id="161" w:name="_Toc342400362"/>
      <w:bookmarkStart w:id="162" w:name="_Toc354499573"/>
      <w:bookmarkStart w:id="163" w:name="_Toc357083648"/>
      <w:bookmarkStart w:id="164" w:name="_Toc357184197"/>
      <w:bookmarkStart w:id="165" w:name="_Toc357184433"/>
      <w:bookmarkStart w:id="166" w:name="_Toc357185235"/>
      <w:bookmarkStart w:id="167" w:name="_Toc357186083"/>
      <w:bookmarkStart w:id="168" w:name="_Toc357186232"/>
      <w:bookmarkStart w:id="169" w:name="_Toc357437518"/>
      <w:bookmarkStart w:id="170" w:name="_Toc357590791"/>
      <w:bookmarkStart w:id="171" w:name="_Toc357692823"/>
      <w:bookmarkStart w:id="172" w:name="_Toc365649650"/>
      <w:bookmarkStart w:id="173" w:name="_Toc365649799"/>
      <w:bookmarkStart w:id="174" w:name="_Toc366489851"/>
      <w:bookmarkStart w:id="175" w:name="_Toc418498556"/>
      <w:bookmarkStart w:id="176" w:name="_Toc418505999"/>
      <w:bookmarkStart w:id="177" w:name="_Toc491868892"/>
      <w:r w:rsidRPr="004A7F1F">
        <w:lastRenderedPageBreak/>
        <w:t>Environmental fate properties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115C5BBA" w14:textId="77777777" w:rsidR="00B12C39" w:rsidRPr="004A7F1F" w:rsidRDefault="00BB6734" w:rsidP="00C748EF">
      <w:pPr>
        <w:pStyle w:val="Heading2"/>
        <w:keepNext w:val="0"/>
      </w:pPr>
      <w:bookmarkStart w:id="178" w:name="_Toc341888509"/>
      <w:bookmarkStart w:id="179" w:name="_Toc342400363"/>
      <w:bookmarkStart w:id="180" w:name="_Toc354499574"/>
      <w:bookmarkStart w:id="181" w:name="_Toc357083649"/>
      <w:bookmarkStart w:id="182" w:name="_Toc357184198"/>
      <w:bookmarkStart w:id="183" w:name="_Toc357184434"/>
      <w:bookmarkStart w:id="184" w:name="_Toc357185236"/>
      <w:bookmarkStart w:id="185" w:name="_Toc357186084"/>
      <w:bookmarkStart w:id="186" w:name="_Toc357186233"/>
      <w:bookmarkStart w:id="187" w:name="_Toc357437519"/>
      <w:bookmarkStart w:id="188" w:name="_Toc357590792"/>
      <w:bookmarkStart w:id="189" w:name="_Toc357692824"/>
      <w:bookmarkStart w:id="190" w:name="_Toc365649651"/>
      <w:bookmarkStart w:id="191" w:name="_Toc365649800"/>
      <w:bookmarkStart w:id="192" w:name="_Toc366489852"/>
      <w:bookmarkStart w:id="193" w:name="_Toc418498557"/>
      <w:bookmarkStart w:id="194" w:name="_Toc418506000"/>
      <w:bookmarkStart w:id="195" w:name="_Toc491868893"/>
      <w:r w:rsidRPr="004A7F1F">
        <w:t xml:space="preserve">3.1 </w:t>
      </w:r>
      <w:r w:rsidR="00B12C39" w:rsidRPr="004A7F1F">
        <w:t>Degradation</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00B12C39" w:rsidRPr="004A7F1F">
        <w:t xml:space="preserve"> </w:t>
      </w:r>
    </w:p>
    <w:p w14:paraId="65ECF6C1" w14:textId="697783F8" w:rsidR="004F4368" w:rsidRPr="004A7F1F" w:rsidRDefault="004F4368" w:rsidP="00454236">
      <w:pPr>
        <w:pStyle w:val="BodyText"/>
        <w:jc w:val="both"/>
      </w:pPr>
      <w:r w:rsidRPr="004A7F1F">
        <w:t xml:space="preserve">The data provided on degradation of </w:t>
      </w:r>
      <w:r w:rsidR="00F130E3" w:rsidRPr="004A7F1F">
        <w:t>CHR</w:t>
      </w:r>
      <w:r w:rsidRPr="004A7F1F">
        <w:t xml:space="preserve"> in the Support Document for identification of CTPHT as SVHC (ECHA, 2009) are not assessed or discussed again in this dossier but included for convenience (flagged by </w:t>
      </w:r>
      <w:r w:rsidRPr="004A7F1F">
        <w:rPr>
          <w:i/>
        </w:rPr>
        <w:t>italic print</w:t>
      </w:r>
      <w:r w:rsidRPr="004A7F1F">
        <w:t xml:space="preserve">). </w:t>
      </w:r>
      <w:r w:rsidR="00426CBA" w:rsidRPr="004A7F1F">
        <w:t xml:space="preserve">Additional information available in the EU risk assessment report on CTPHT (EC, 2008) and the Annex XV Transitional Dossier for CTPHT (The Netherlands, 2008) but not discussed in the support document was included. </w:t>
      </w:r>
    </w:p>
    <w:p w14:paraId="115C5BC3" w14:textId="77777777" w:rsidR="00B12C39" w:rsidRPr="004A7F1F" w:rsidRDefault="00B12C39" w:rsidP="00B12C39">
      <w:pPr>
        <w:pStyle w:val="BodyText"/>
        <w:jc w:val="both"/>
      </w:pPr>
    </w:p>
    <w:p w14:paraId="115C5BC4" w14:textId="77777777" w:rsidR="00B12C39" w:rsidRPr="004A7F1F" w:rsidRDefault="00852117" w:rsidP="00852117">
      <w:pPr>
        <w:pStyle w:val="Heading3"/>
        <w:tabs>
          <w:tab w:val="clear" w:pos="360"/>
          <w:tab w:val="num" w:pos="0"/>
        </w:tabs>
      </w:pPr>
      <w:bookmarkStart w:id="196" w:name="_Toc341888510"/>
      <w:bookmarkStart w:id="197" w:name="_Toc342400364"/>
      <w:bookmarkStart w:id="198" w:name="_Toc354499575"/>
      <w:bookmarkStart w:id="199" w:name="_Toc357083650"/>
      <w:bookmarkStart w:id="200" w:name="_Toc357184199"/>
      <w:bookmarkStart w:id="201" w:name="_Toc357184435"/>
      <w:bookmarkStart w:id="202" w:name="_Toc357185237"/>
      <w:bookmarkStart w:id="203" w:name="_Toc357186085"/>
      <w:bookmarkStart w:id="204" w:name="_Toc357186234"/>
      <w:bookmarkStart w:id="205" w:name="_Toc357437520"/>
      <w:bookmarkStart w:id="206" w:name="_Toc357590793"/>
      <w:bookmarkStart w:id="207" w:name="_Toc357692825"/>
      <w:bookmarkStart w:id="208" w:name="_Toc365649652"/>
      <w:bookmarkStart w:id="209" w:name="_Toc365649801"/>
      <w:bookmarkStart w:id="210" w:name="_Toc366489853"/>
      <w:bookmarkStart w:id="211" w:name="_Toc418498558"/>
      <w:bookmarkStart w:id="212" w:name="_Toc418506001"/>
      <w:bookmarkStart w:id="213" w:name="_Toc491868894"/>
      <w:r w:rsidRPr="004A7F1F">
        <w:t xml:space="preserve">3.1.1 </w:t>
      </w:r>
      <w:r w:rsidR="00B12C39" w:rsidRPr="004A7F1F">
        <w:t>Abiotic degradation</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15C5BC5" w14:textId="77777777" w:rsidR="00B12C39" w:rsidRPr="004A7F1F" w:rsidRDefault="00852117" w:rsidP="00264345">
      <w:pPr>
        <w:pStyle w:val="Heading4"/>
        <w:tabs>
          <w:tab w:val="num" w:pos="284"/>
        </w:tabs>
      </w:pPr>
      <w:bookmarkStart w:id="214" w:name="_Toc341888511"/>
      <w:bookmarkStart w:id="215" w:name="_Toc342400365"/>
      <w:r w:rsidRPr="004A7F1F">
        <w:t xml:space="preserve">3.1.1.2 </w:t>
      </w:r>
      <w:r w:rsidR="00B12C39" w:rsidRPr="004A7F1F">
        <w:t>Hydrolysis</w:t>
      </w:r>
      <w:bookmarkEnd w:id="214"/>
      <w:bookmarkEnd w:id="215"/>
    </w:p>
    <w:p w14:paraId="7B6E75C4" w14:textId="77777777" w:rsidR="004F4368" w:rsidRPr="004A7F1F" w:rsidRDefault="004F4368" w:rsidP="004F4368">
      <w:pPr>
        <w:widowControl/>
        <w:autoSpaceDE w:val="0"/>
        <w:autoSpaceDN w:val="0"/>
        <w:adjustRightInd w:val="0"/>
        <w:jc w:val="both"/>
      </w:pPr>
      <w:r w:rsidRPr="004A7F1F">
        <w:t xml:space="preserve">As assessed before in the Support Document for identification of CTPHT as SVHC (ECHA, 2009), </w:t>
      </w:r>
      <w:r w:rsidRPr="004A7F1F">
        <w:rPr>
          <w:i/>
        </w:rPr>
        <w:t>PAHs are hydrolytically stable in aqueous systems</w:t>
      </w:r>
      <w:r w:rsidRPr="004A7F1F">
        <w:t xml:space="preserve">. The Support Document furthermore states as a result that </w:t>
      </w:r>
      <w:r w:rsidRPr="004A7F1F">
        <w:rPr>
          <w:i/>
        </w:rPr>
        <w:t>hydrolysis does not contribute to the degradation of PAHs under environmental conditions</w:t>
      </w:r>
      <w:r w:rsidRPr="004A7F1F">
        <w:rPr>
          <w:i/>
          <w:lang w:eastAsia="de-DE"/>
        </w:rPr>
        <w:t>.</w:t>
      </w:r>
    </w:p>
    <w:p w14:paraId="5E6FA088" w14:textId="77777777" w:rsidR="004F4368" w:rsidRPr="004A7F1F" w:rsidRDefault="004F4368" w:rsidP="003B3C62">
      <w:pPr>
        <w:pStyle w:val="BodyText"/>
      </w:pPr>
    </w:p>
    <w:p w14:paraId="115C5BC6" w14:textId="77777777" w:rsidR="00B12C39" w:rsidRPr="004A7F1F" w:rsidRDefault="00852117" w:rsidP="00264345">
      <w:pPr>
        <w:pStyle w:val="Heading4"/>
        <w:tabs>
          <w:tab w:val="num" w:pos="284"/>
        </w:tabs>
      </w:pPr>
      <w:r w:rsidRPr="004A7F1F">
        <w:t xml:space="preserve">3.1.1.3 </w:t>
      </w:r>
      <w:r w:rsidR="00B12C39" w:rsidRPr="004A7F1F">
        <w:t>Oxidation</w:t>
      </w:r>
    </w:p>
    <w:p w14:paraId="4BAC6A2E" w14:textId="4BB3C4D9" w:rsidR="00F95ABD" w:rsidRPr="004A7F1F" w:rsidRDefault="00F95ABD" w:rsidP="00F95ABD">
      <w:pPr>
        <w:widowControl/>
        <w:autoSpaceDE w:val="0"/>
        <w:autoSpaceDN w:val="0"/>
        <w:adjustRightInd w:val="0"/>
        <w:jc w:val="both"/>
      </w:pPr>
      <w:r w:rsidRPr="004A7F1F">
        <w:t xml:space="preserve">The oxidation of </w:t>
      </w:r>
      <w:r w:rsidR="00737E8B" w:rsidRPr="004A7F1F">
        <w:t xml:space="preserve">PAHs </w:t>
      </w:r>
      <w:r w:rsidRPr="004A7F1F">
        <w:t>was summari</w:t>
      </w:r>
      <w:r w:rsidR="00F30D5B">
        <w:t>s</w:t>
      </w:r>
      <w:r w:rsidRPr="004A7F1F">
        <w:t>ed and discussed in the Support Document for identification of CTPHT as SVHC (ECHA, 2009) as follows:</w:t>
      </w:r>
    </w:p>
    <w:p w14:paraId="30723CF4" w14:textId="77777777" w:rsidR="00F95ABD" w:rsidRPr="004A7F1F" w:rsidRDefault="00F95ABD" w:rsidP="00F95ABD">
      <w:pPr>
        <w:widowControl/>
        <w:autoSpaceDE w:val="0"/>
        <w:autoSpaceDN w:val="0"/>
        <w:adjustRightInd w:val="0"/>
        <w:jc w:val="both"/>
        <w:rPr>
          <w:rFonts w:ascii="Times New Roman" w:hAnsi="Times New Roman"/>
          <w:i/>
          <w:sz w:val="23"/>
          <w:szCs w:val="23"/>
          <w:lang w:eastAsia="de-DE"/>
        </w:rPr>
      </w:pPr>
    </w:p>
    <w:p w14:paraId="7871E138" w14:textId="4A939D76" w:rsidR="00DE439F" w:rsidRPr="004A7F1F" w:rsidRDefault="00F95ABD" w:rsidP="003B3C62">
      <w:pPr>
        <w:pStyle w:val="BodyText"/>
        <w:rPr>
          <w:i/>
        </w:rPr>
      </w:pPr>
      <w:r w:rsidRPr="004A7F1F">
        <w:rPr>
          <w:i/>
        </w:rPr>
        <w:t>In the atmosphere, the PAHs are either gas phase or particle-associated. It has been shown that the</w:t>
      </w:r>
      <w:r w:rsidR="00B7103F" w:rsidRPr="004A7F1F">
        <w:rPr>
          <w:i/>
        </w:rPr>
        <w:t xml:space="preserve"> </w:t>
      </w:r>
      <w:r w:rsidRPr="004A7F1F">
        <w:rPr>
          <w:i/>
        </w:rPr>
        <w:t>2-4 ring PAHs with vapour pressure higher than or equal to 10</w:t>
      </w:r>
      <w:r w:rsidRPr="004A7F1F">
        <w:rPr>
          <w:i/>
          <w:vertAlign w:val="superscript"/>
        </w:rPr>
        <w:t>-4</w:t>
      </w:r>
      <w:r w:rsidRPr="004A7F1F">
        <w:rPr>
          <w:i/>
        </w:rPr>
        <w:t xml:space="preserve"> Pa are mostly gas phase-related and PAHs of 4 rings or more with vapour pressure below 10</w:t>
      </w:r>
      <w:r w:rsidRPr="004A7F1F">
        <w:rPr>
          <w:i/>
          <w:vertAlign w:val="superscript"/>
        </w:rPr>
        <w:t>-4</w:t>
      </w:r>
      <w:r w:rsidRPr="004A7F1F">
        <w:rPr>
          <w:i/>
        </w:rPr>
        <w:t xml:space="preserve"> Pa are particle-associated. In the gas phase PAHs are oxidi</w:t>
      </w:r>
      <w:r w:rsidR="00F30D5B">
        <w:rPr>
          <w:i/>
        </w:rPr>
        <w:t>s</w:t>
      </w:r>
      <w:r w:rsidRPr="004A7F1F">
        <w:rPr>
          <w:i/>
        </w:rPr>
        <w:t>ed by atmospheric hydroxyl (OH) and nitrate radicals and ozone, whereas the particle-associated PAHs are expected to be degraded by direct photolysis and by reaction with ozone (The Netherlands, 2008).</w:t>
      </w:r>
    </w:p>
    <w:p w14:paraId="31C48D74" w14:textId="7A61F69D" w:rsidR="00F95ABD" w:rsidRPr="004A7F1F" w:rsidRDefault="000F7347" w:rsidP="003B3C62">
      <w:bookmarkStart w:id="216" w:name="_Toc341888512"/>
      <w:bookmarkStart w:id="217" w:name="_Toc342400366"/>
      <w:r w:rsidRPr="004A7F1F">
        <w:t>CHR</w:t>
      </w:r>
      <w:r w:rsidR="00F95ABD" w:rsidRPr="004A7F1F">
        <w:t xml:space="preserve"> has 4 aromatic rings and a reported vapour </w:t>
      </w:r>
      <w:r w:rsidR="00B00FC2" w:rsidRPr="004A7F1F">
        <w:t>pres</w:t>
      </w:r>
      <w:r w:rsidR="00F95ABD" w:rsidRPr="004A7F1F">
        <w:t>sure below 10</w:t>
      </w:r>
      <w:r w:rsidR="00F95ABD" w:rsidRPr="004A7F1F">
        <w:rPr>
          <w:vertAlign w:val="superscript"/>
        </w:rPr>
        <w:t>-4</w:t>
      </w:r>
      <w:r w:rsidR="00F95ABD" w:rsidRPr="004A7F1F">
        <w:t xml:space="preserve"> Pa</w:t>
      </w:r>
      <w:r w:rsidR="00B358A4" w:rsidRPr="004A7F1F">
        <w:t xml:space="preserve">. Therefore it is assumed that </w:t>
      </w:r>
      <w:r w:rsidR="007B53C5" w:rsidRPr="004A7F1F">
        <w:t>CHR</w:t>
      </w:r>
      <w:r w:rsidR="00B358A4" w:rsidRPr="004A7F1F">
        <w:t xml:space="preserve"> is mainly particle associated and is degraded by photolysis instead of oxidization. </w:t>
      </w:r>
    </w:p>
    <w:p w14:paraId="0D945FBE" w14:textId="77777777" w:rsidR="00F130E3" w:rsidRPr="004A7F1F" w:rsidRDefault="00F130E3" w:rsidP="003B3C62"/>
    <w:p w14:paraId="115C5BC7" w14:textId="7C64D6CA" w:rsidR="00B12C39" w:rsidRPr="004A7F1F" w:rsidRDefault="00852117" w:rsidP="00264345">
      <w:pPr>
        <w:pStyle w:val="Heading4"/>
        <w:tabs>
          <w:tab w:val="num" w:pos="284"/>
        </w:tabs>
      </w:pPr>
      <w:r w:rsidRPr="004A7F1F">
        <w:t xml:space="preserve">3.1.1.3 </w:t>
      </w:r>
      <w:proofErr w:type="spellStart"/>
      <w:r w:rsidR="00B12C39" w:rsidRPr="004A7F1F">
        <w:t>Phototransformation</w:t>
      </w:r>
      <w:proofErr w:type="spellEnd"/>
      <w:r w:rsidR="00B12C39" w:rsidRPr="004A7F1F">
        <w:t>/photolysis</w:t>
      </w:r>
      <w:bookmarkEnd w:id="216"/>
      <w:bookmarkEnd w:id="217"/>
    </w:p>
    <w:p w14:paraId="115C5BC8" w14:textId="77777777" w:rsidR="00B12C39" w:rsidRPr="004A7F1F" w:rsidRDefault="00852117" w:rsidP="00264345">
      <w:pPr>
        <w:pStyle w:val="Heading5"/>
        <w:tabs>
          <w:tab w:val="num" w:pos="284"/>
        </w:tabs>
      </w:pPr>
      <w:bookmarkStart w:id="218" w:name="_Toc341888513"/>
      <w:bookmarkStart w:id="219" w:name="_Toc342400367"/>
      <w:r w:rsidRPr="004A7F1F">
        <w:t xml:space="preserve">3.1.1.3.1 </w:t>
      </w:r>
      <w:proofErr w:type="spellStart"/>
      <w:r w:rsidR="00B12C39" w:rsidRPr="004A7F1F">
        <w:t>Phototransformation</w:t>
      </w:r>
      <w:proofErr w:type="spellEnd"/>
      <w:r w:rsidR="00B12C39" w:rsidRPr="004A7F1F">
        <w:t xml:space="preserve"> in air</w:t>
      </w:r>
      <w:bookmarkEnd w:id="218"/>
      <w:bookmarkEnd w:id="219"/>
    </w:p>
    <w:p w14:paraId="3394F9DE" w14:textId="290EBBE7" w:rsidR="00FF20CF" w:rsidRPr="004A7F1F" w:rsidRDefault="00FF20CF" w:rsidP="003B3C62">
      <w:pPr>
        <w:pStyle w:val="BodyText"/>
      </w:pPr>
      <w:r w:rsidRPr="004A7F1F">
        <w:t>Photolysis of PAH</w:t>
      </w:r>
      <w:r w:rsidR="00737E8B" w:rsidRPr="004A7F1F">
        <w:t>s</w:t>
      </w:r>
      <w:r w:rsidRPr="004A7F1F">
        <w:t xml:space="preserve"> </w:t>
      </w:r>
      <w:r w:rsidR="00737E8B" w:rsidRPr="004A7F1F">
        <w:t>in</w:t>
      </w:r>
      <w:r w:rsidRPr="004A7F1F">
        <w:t xml:space="preserve"> the atmosphere was assessed </w:t>
      </w:r>
      <w:r w:rsidR="001F0302" w:rsidRPr="004A7F1F">
        <w:t>in the EU risk assessment report (2008) as following:</w:t>
      </w:r>
    </w:p>
    <w:p w14:paraId="2115B602" w14:textId="77777777" w:rsidR="00EE622A" w:rsidRDefault="001F0302" w:rsidP="003B3C62">
      <w:pPr>
        <w:pStyle w:val="BodyText"/>
        <w:rPr>
          <w:i/>
        </w:rPr>
      </w:pPr>
      <w:r w:rsidRPr="004A7F1F">
        <w:rPr>
          <w:i/>
        </w:rPr>
        <w:t>Photolysis in the troposphere results in the formation of reactive hydroxyl and nitrate (NO</w:t>
      </w:r>
      <w:r w:rsidRPr="004A7F1F">
        <w:rPr>
          <w:i/>
          <w:vertAlign w:val="subscript"/>
        </w:rPr>
        <w:t>3</w:t>
      </w:r>
      <w:r w:rsidRPr="004A7F1F">
        <w:rPr>
          <w:i/>
        </w:rPr>
        <w:t>) radicals and ozone (O</w:t>
      </w:r>
      <w:r w:rsidRPr="004A7F1F">
        <w:rPr>
          <w:i/>
          <w:vertAlign w:val="subscript"/>
        </w:rPr>
        <w:t>3</w:t>
      </w:r>
      <w:r w:rsidRPr="004A7F1F">
        <w:rPr>
          <w:i/>
        </w:rPr>
        <w:t>), which reacts as oxidizing agent with organic compounds, like PAHs.</w:t>
      </w:r>
      <w:r w:rsidR="00F55E9F" w:rsidRPr="004A7F1F">
        <w:rPr>
          <w:i/>
        </w:rPr>
        <w:t xml:space="preserve"> </w:t>
      </w:r>
      <w:r w:rsidRPr="004A7F1F">
        <w:rPr>
          <w:i/>
        </w:rPr>
        <w:t>These radical and ozone reactions comprise mainly degrada</w:t>
      </w:r>
      <w:r w:rsidR="00B7103F" w:rsidRPr="004A7F1F">
        <w:rPr>
          <w:i/>
        </w:rPr>
        <w:t xml:space="preserve">tion of gas-phase PAHs (Calvert </w:t>
      </w:r>
      <w:r w:rsidRPr="004A7F1F">
        <w:rPr>
          <w:i/>
        </w:rPr>
        <w:t>et al., 2002). Particle-associated PAHs are expected to degrade in air predominantly via direct</w:t>
      </w:r>
      <w:r w:rsidR="00F55E9F" w:rsidRPr="004A7F1F">
        <w:rPr>
          <w:i/>
        </w:rPr>
        <w:t xml:space="preserve"> </w:t>
      </w:r>
      <w:r w:rsidRPr="004A7F1F">
        <w:rPr>
          <w:i/>
        </w:rPr>
        <w:t>photolysis by light with a wavelength &lt; 290 nm (</w:t>
      </w:r>
      <w:proofErr w:type="spellStart"/>
      <w:r w:rsidRPr="004A7F1F">
        <w:rPr>
          <w:i/>
        </w:rPr>
        <w:t>Kamens</w:t>
      </w:r>
      <w:proofErr w:type="spellEnd"/>
      <w:r w:rsidRPr="004A7F1F">
        <w:rPr>
          <w:i/>
        </w:rPr>
        <w:t xml:space="preserve"> et al., 1988), although reaction with</w:t>
      </w:r>
      <w:r w:rsidR="00F55E9F" w:rsidRPr="004A7F1F">
        <w:rPr>
          <w:i/>
        </w:rPr>
        <w:t xml:space="preserve"> </w:t>
      </w:r>
      <w:r w:rsidRPr="004A7F1F">
        <w:rPr>
          <w:i/>
        </w:rPr>
        <w:t xml:space="preserve">ozone will also occur (Peters and Seifert, 1980; </w:t>
      </w:r>
      <w:proofErr w:type="spellStart"/>
      <w:r w:rsidRPr="004A7F1F">
        <w:rPr>
          <w:i/>
        </w:rPr>
        <w:t>Grosjean</w:t>
      </w:r>
      <w:proofErr w:type="spellEnd"/>
      <w:r w:rsidRPr="004A7F1F">
        <w:rPr>
          <w:i/>
        </w:rPr>
        <w:t xml:space="preserve"> et al., 1983; Pitts et al., 1986;Coutant et al., 1988). </w:t>
      </w:r>
    </w:p>
    <w:p w14:paraId="29C9F075" w14:textId="77777777" w:rsidR="00EE622A" w:rsidRDefault="008E52EF" w:rsidP="00EE622A">
      <w:pPr>
        <w:pStyle w:val="BodyText"/>
        <w:jc w:val="both"/>
      </w:pPr>
      <w:r w:rsidRPr="004A7F1F">
        <w:rPr>
          <w:i/>
        </w:rPr>
        <w:br/>
      </w:r>
      <w:r w:rsidR="00B00FC2" w:rsidRPr="004A7F1F">
        <w:t xml:space="preserve">As stated earlier, </w:t>
      </w:r>
      <w:r w:rsidR="003E54C4" w:rsidRPr="004A7F1F">
        <w:t>CHR</w:t>
      </w:r>
      <w:r w:rsidR="00B00FC2" w:rsidRPr="004A7F1F">
        <w:t xml:space="preserve"> is mainly particle associated. </w:t>
      </w:r>
      <w:r w:rsidR="0072381F" w:rsidRPr="004A7F1F">
        <w:t>The degradation rate of PAH</w:t>
      </w:r>
      <w:r w:rsidR="00EE0CF7" w:rsidRPr="004A7F1F">
        <w:t>s</w:t>
      </w:r>
      <w:r w:rsidR="0072381F" w:rsidRPr="004A7F1F">
        <w:t xml:space="preserve">, and therefore of </w:t>
      </w:r>
      <w:r w:rsidR="003E54C4" w:rsidRPr="004A7F1F">
        <w:t>CHR</w:t>
      </w:r>
      <w:r w:rsidR="0072381F" w:rsidRPr="004A7F1F">
        <w:t>, depends on the type of particle to which they are bound (</w:t>
      </w:r>
      <w:proofErr w:type="spellStart"/>
      <w:r w:rsidR="0072381F" w:rsidRPr="004A7F1F">
        <w:t>Behymer</w:t>
      </w:r>
      <w:proofErr w:type="spellEnd"/>
      <w:r w:rsidR="0072381F" w:rsidRPr="004A7F1F">
        <w:t xml:space="preserve"> &amp; </w:t>
      </w:r>
      <w:proofErr w:type="spellStart"/>
      <w:r w:rsidR="0072381F" w:rsidRPr="004A7F1F">
        <w:lastRenderedPageBreak/>
        <w:t>Hites</w:t>
      </w:r>
      <w:proofErr w:type="spellEnd"/>
      <w:r w:rsidR="0072381F" w:rsidRPr="004A7F1F">
        <w:t xml:space="preserve">, 1988, cited in </w:t>
      </w:r>
      <w:r w:rsidR="001E4374" w:rsidRPr="004A7F1F">
        <w:t>The Netherlands</w:t>
      </w:r>
      <w:r w:rsidR="0072381F" w:rsidRPr="004A7F1F">
        <w:t>, 2008).</w:t>
      </w:r>
      <w:r w:rsidR="000E720E" w:rsidRPr="004A7F1F">
        <w:t xml:space="preserve"> </w:t>
      </w:r>
      <w:r w:rsidR="003807E8" w:rsidRPr="004A7F1F">
        <w:t xml:space="preserve">While half-lives for direct photolysis of PAH are in the range of hours (Vu </w:t>
      </w:r>
      <w:proofErr w:type="spellStart"/>
      <w:r w:rsidR="003807E8" w:rsidRPr="004A7F1F">
        <w:t>Duc</w:t>
      </w:r>
      <w:proofErr w:type="spellEnd"/>
      <w:r w:rsidR="003807E8" w:rsidRPr="004A7F1F">
        <w:t xml:space="preserve"> &amp; Huynh, 1991, cited in </w:t>
      </w:r>
      <w:r w:rsidR="001E4374" w:rsidRPr="004A7F1F">
        <w:t>The Netherlands</w:t>
      </w:r>
      <w:r w:rsidR="003807E8" w:rsidRPr="004A7F1F">
        <w:t xml:space="preserve">, 2008), </w:t>
      </w:r>
      <w:r w:rsidR="00B56C71" w:rsidRPr="004A7F1F">
        <w:t xml:space="preserve">it was demonstrated by </w:t>
      </w:r>
      <w:proofErr w:type="spellStart"/>
      <w:r w:rsidR="00B56C71" w:rsidRPr="004A7F1F">
        <w:t>Beh</w:t>
      </w:r>
      <w:r w:rsidR="00A301EA" w:rsidRPr="004A7F1F">
        <w:t>ymer</w:t>
      </w:r>
      <w:proofErr w:type="spellEnd"/>
      <w:r w:rsidR="00A301EA" w:rsidRPr="004A7F1F">
        <w:t xml:space="preserve"> &amp; </w:t>
      </w:r>
      <w:proofErr w:type="spellStart"/>
      <w:r w:rsidR="00A301EA" w:rsidRPr="004A7F1F">
        <w:t>Hites</w:t>
      </w:r>
      <w:proofErr w:type="spellEnd"/>
      <w:r w:rsidR="00A301EA" w:rsidRPr="004A7F1F">
        <w:t xml:space="preserve"> (1988) (cited in </w:t>
      </w:r>
      <w:r w:rsidR="001E4374" w:rsidRPr="004A7F1F">
        <w:t>The Netherlands</w:t>
      </w:r>
      <w:r w:rsidR="00A301EA" w:rsidRPr="004A7F1F">
        <w:t xml:space="preserve"> (2008</w:t>
      </w:r>
      <w:r w:rsidR="00B56C71" w:rsidRPr="004A7F1F">
        <w:t>)</w:t>
      </w:r>
      <w:r w:rsidR="00A301EA" w:rsidRPr="004A7F1F">
        <w:t xml:space="preserve">), that particle surface-adsorbed </w:t>
      </w:r>
      <w:r w:rsidR="003E54C4" w:rsidRPr="004A7F1F">
        <w:t>CHR</w:t>
      </w:r>
      <w:r w:rsidR="00A301EA" w:rsidRPr="004A7F1F">
        <w:t xml:space="preserve"> does have representative lifetimes between 10 hr and 7.8 days under natural conditions. </w:t>
      </w:r>
      <w:r w:rsidR="000C7A11">
        <w:t xml:space="preserve">According to </w:t>
      </w:r>
      <w:r w:rsidR="000C7A11" w:rsidRPr="007E2A19">
        <w:rPr>
          <w:lang w:val="en-US"/>
        </w:rPr>
        <w:t>the Annex XV Transitional Dossier for CTPHT (The Netherlands, 2008)</w:t>
      </w:r>
      <w:r w:rsidR="000C7A11">
        <w:rPr>
          <w:lang w:val="en-US"/>
        </w:rPr>
        <w:t>, the photolysis of PAHs is as follows</w:t>
      </w:r>
      <w:r w:rsidR="00C364F6" w:rsidRPr="004A7F1F">
        <w:t>:</w:t>
      </w:r>
    </w:p>
    <w:p w14:paraId="27BCB857" w14:textId="431A9065" w:rsidR="001F0302" w:rsidRPr="004A7F1F" w:rsidRDefault="00C364F6" w:rsidP="003B3C62">
      <w:pPr>
        <w:pStyle w:val="BodyText"/>
        <w:rPr>
          <w:i/>
        </w:rPr>
      </w:pPr>
      <w:r w:rsidRPr="004A7F1F">
        <w:br/>
      </w:r>
      <w:r w:rsidRPr="004A7F1F">
        <w:rPr>
          <w:i/>
        </w:rPr>
        <w:t xml:space="preserve">A two layer model has been proposed for the behaviour of naturally occurring PAH on airborne particulate matter, in which photo oxidation takes place in the outer layer, and much slower, ‘dark’ oxidation takes place in the inner layer (Valerio et al., 1987). This model is in line with the results of </w:t>
      </w:r>
      <w:proofErr w:type="spellStart"/>
      <w:r w:rsidRPr="004A7F1F">
        <w:rPr>
          <w:i/>
        </w:rPr>
        <w:t>Kamens</w:t>
      </w:r>
      <w:proofErr w:type="spellEnd"/>
      <w:r w:rsidRPr="004A7F1F">
        <w:rPr>
          <w:i/>
        </w:rPr>
        <w:t xml:space="preserve"> et al.</w:t>
      </w:r>
      <w:r w:rsidR="001531A0" w:rsidRPr="004A7F1F">
        <w:rPr>
          <w:i/>
        </w:rPr>
        <w:t xml:space="preserve"> </w:t>
      </w:r>
      <w:r w:rsidRPr="004A7F1F">
        <w:rPr>
          <w:i/>
        </w:rPr>
        <w:t>(1991), who reported that PAH on highly loaded particles degrade more slowly than those on particles with low loads. As PAH occur mainly on particulate matter with a high carbon content, their degradation in the atmosphere is slower than that of PAH in the vapour phase under laboratory conditions or adsorbed on synthetic material.</w:t>
      </w:r>
    </w:p>
    <w:p w14:paraId="115C5BC9" w14:textId="0309DC16" w:rsidR="0016056A" w:rsidRPr="004A7F1F" w:rsidRDefault="00852117">
      <w:pPr>
        <w:pStyle w:val="Heading5"/>
        <w:tabs>
          <w:tab w:val="num" w:pos="284"/>
        </w:tabs>
      </w:pPr>
      <w:bookmarkStart w:id="220" w:name="_Toc341888514"/>
      <w:bookmarkStart w:id="221" w:name="_Toc342400368"/>
      <w:r w:rsidRPr="004A7F1F">
        <w:t>3.1.1.3.</w:t>
      </w:r>
      <w:r w:rsidR="006D6A68" w:rsidRPr="004A7F1F">
        <w:t xml:space="preserve">2 </w:t>
      </w:r>
      <w:proofErr w:type="spellStart"/>
      <w:r w:rsidR="00B12C39" w:rsidRPr="004A7F1F">
        <w:t>Phototransformation</w:t>
      </w:r>
      <w:proofErr w:type="spellEnd"/>
      <w:r w:rsidR="00B12C39" w:rsidRPr="004A7F1F">
        <w:t xml:space="preserve"> in water</w:t>
      </w:r>
      <w:bookmarkEnd w:id="220"/>
      <w:bookmarkEnd w:id="221"/>
    </w:p>
    <w:p w14:paraId="521A5CDF" w14:textId="2AFC6D31" w:rsidR="00C364F6" w:rsidRPr="004A7F1F" w:rsidRDefault="004608B0" w:rsidP="003B3C62">
      <w:pPr>
        <w:pStyle w:val="BodyText"/>
        <w:rPr>
          <w:i/>
        </w:rPr>
      </w:pPr>
      <w:r w:rsidRPr="004A7F1F">
        <w:t>As assessed before in the Support Document for</w:t>
      </w:r>
      <w:r w:rsidR="00487E92" w:rsidRPr="004A7F1F">
        <w:t xml:space="preserve"> </w:t>
      </w:r>
      <w:r w:rsidRPr="004A7F1F">
        <w:t xml:space="preserve">identification of CTPHT as SVHC (ECHA, 2009), </w:t>
      </w:r>
      <w:proofErr w:type="spellStart"/>
      <w:r w:rsidRPr="004A7F1F">
        <w:rPr>
          <w:i/>
        </w:rPr>
        <w:t>Photodegradation</w:t>
      </w:r>
      <w:proofErr w:type="spellEnd"/>
      <w:r w:rsidRPr="004A7F1F">
        <w:rPr>
          <w:i/>
        </w:rPr>
        <w:t xml:space="preserve"> in natural waters takes normally place only in the upper few centimetres of the water-column and is therefore not considered to have significant impact on the overall persistency of PAHs in the aquatic environment.</w:t>
      </w:r>
    </w:p>
    <w:p w14:paraId="115C5BCA" w14:textId="77777777" w:rsidR="001F5783" w:rsidRPr="004A7F1F" w:rsidRDefault="00852117" w:rsidP="00264345">
      <w:pPr>
        <w:pStyle w:val="Heading5"/>
        <w:tabs>
          <w:tab w:val="num" w:pos="284"/>
        </w:tabs>
      </w:pPr>
      <w:bookmarkStart w:id="222" w:name="_Toc341888515"/>
      <w:bookmarkStart w:id="223" w:name="_Toc342400369"/>
      <w:r w:rsidRPr="004A7F1F">
        <w:t xml:space="preserve">3.1.1.3.3 </w:t>
      </w:r>
      <w:proofErr w:type="spellStart"/>
      <w:r w:rsidR="00B12C39" w:rsidRPr="004A7F1F">
        <w:t>Phototransformation</w:t>
      </w:r>
      <w:proofErr w:type="spellEnd"/>
      <w:r w:rsidR="00B12C39" w:rsidRPr="004A7F1F">
        <w:t xml:space="preserve"> in soil</w:t>
      </w:r>
      <w:bookmarkStart w:id="224" w:name="_Toc341888516"/>
      <w:bookmarkStart w:id="225" w:name="_Toc342400370"/>
      <w:bookmarkStart w:id="226" w:name="_Toc354499576"/>
      <w:bookmarkEnd w:id="222"/>
      <w:bookmarkEnd w:id="223"/>
    </w:p>
    <w:p w14:paraId="12CA1BFE" w14:textId="640645B1" w:rsidR="007F2C3D" w:rsidRPr="004A7F1F" w:rsidRDefault="004608B0" w:rsidP="003B3C62">
      <w:pPr>
        <w:pStyle w:val="BodyText"/>
        <w:rPr>
          <w:i/>
        </w:rPr>
      </w:pPr>
      <w:r w:rsidRPr="004A7F1F">
        <w:t xml:space="preserve">As assessed before in the Support Document for identification of CTPHT as SVHC (ECHA, 2009), </w:t>
      </w:r>
      <w:r w:rsidRPr="004A7F1F">
        <w:rPr>
          <w:i/>
        </w:rPr>
        <w:t xml:space="preserve">exposure to light is even more limited in soils, </w:t>
      </w:r>
      <w:proofErr w:type="spellStart"/>
      <w:proofErr w:type="gramStart"/>
      <w:r w:rsidRPr="004A7F1F">
        <w:rPr>
          <w:i/>
        </w:rPr>
        <w:t>photodegradation</w:t>
      </w:r>
      <w:proofErr w:type="spellEnd"/>
      <w:proofErr w:type="gramEnd"/>
      <w:r w:rsidRPr="004A7F1F">
        <w:rPr>
          <w:i/>
        </w:rPr>
        <w:t xml:space="preserve"> is as well not considered a relevant degradation process in terrestrial environments.</w:t>
      </w:r>
    </w:p>
    <w:p w14:paraId="115C5BCB" w14:textId="77777777" w:rsidR="001F5783" w:rsidRPr="004A7F1F" w:rsidRDefault="00852117" w:rsidP="00264345">
      <w:pPr>
        <w:pStyle w:val="Heading4"/>
        <w:tabs>
          <w:tab w:val="num" w:pos="284"/>
        </w:tabs>
      </w:pPr>
      <w:r w:rsidRPr="004A7F1F">
        <w:t xml:space="preserve">3.1.1.4 </w:t>
      </w:r>
      <w:r w:rsidR="001F5783" w:rsidRPr="004A7F1F">
        <w:t>Summary on abiotic degradation</w:t>
      </w:r>
    </w:p>
    <w:p w14:paraId="60D71B39" w14:textId="5A703148" w:rsidR="00FF488E" w:rsidRDefault="00FF488E" w:rsidP="00EE622A">
      <w:pPr>
        <w:widowControl/>
        <w:autoSpaceDE w:val="0"/>
        <w:autoSpaceDN w:val="0"/>
        <w:adjustRightInd w:val="0"/>
        <w:jc w:val="both"/>
      </w:pPr>
      <w:r w:rsidRPr="00DC41FB">
        <w:t xml:space="preserve">It is concluded that in the atmosphere, free PAHs degrade within a range of minutes to days by direct photolysis. The substance is however mostly particle-associated and when adsorbed onto fine particles, </w:t>
      </w:r>
      <w:r>
        <w:t>CHR</w:t>
      </w:r>
      <w:r w:rsidRPr="00DC41FB">
        <w:t xml:space="preserve"> may be more stable in the atmosphere. In water, </w:t>
      </w:r>
      <w:r>
        <w:t>CHR</w:t>
      </w:r>
      <w:r w:rsidRPr="00DC41FB">
        <w:t xml:space="preserve"> is not hydrolysed but can be photo-degraded. However, this only appears at the upper few centimetres of a water-column and is therefore not considered having a significant impact on the overall persistence of </w:t>
      </w:r>
      <w:r>
        <w:t>CHR</w:t>
      </w:r>
      <w:r w:rsidRPr="00DC41FB">
        <w:t xml:space="preserve"> in the aquatic environment. In soil, exposure to light is even more limited. Thus, </w:t>
      </w:r>
      <w:proofErr w:type="spellStart"/>
      <w:r w:rsidRPr="00DC41FB">
        <w:t>photodegradation</w:t>
      </w:r>
      <w:proofErr w:type="spellEnd"/>
      <w:r w:rsidRPr="00DC41FB">
        <w:t xml:space="preserve"> is not considered as relevant degradation process in water and terrestrial environments. </w:t>
      </w:r>
      <w:r>
        <w:t>CHR</w:t>
      </w:r>
      <w:r w:rsidRPr="00DC41FB">
        <w:t xml:space="preserve"> is hydrolytically stable under environmental conditions. </w:t>
      </w:r>
    </w:p>
    <w:p w14:paraId="6D224F00" w14:textId="77777777" w:rsidR="00EE622A" w:rsidRPr="00DC41FB" w:rsidRDefault="00EE622A" w:rsidP="00EE622A">
      <w:pPr>
        <w:widowControl/>
        <w:autoSpaceDE w:val="0"/>
        <w:autoSpaceDN w:val="0"/>
        <w:adjustRightInd w:val="0"/>
        <w:jc w:val="both"/>
      </w:pPr>
    </w:p>
    <w:p w14:paraId="26F4B93D" w14:textId="7245ABE2" w:rsidR="00140B01" w:rsidRPr="004A7F1F" w:rsidRDefault="00FF488E" w:rsidP="00EE622A">
      <w:pPr>
        <w:widowControl/>
        <w:autoSpaceDE w:val="0"/>
        <w:autoSpaceDN w:val="0"/>
        <w:adjustRightInd w:val="0"/>
        <w:jc w:val="both"/>
        <w:rPr>
          <w:rFonts w:ascii="Times New Roman" w:hAnsi="Times New Roman"/>
          <w:i/>
          <w:sz w:val="23"/>
          <w:szCs w:val="23"/>
          <w:lang w:val="en-US" w:eastAsia="en-GB"/>
        </w:rPr>
      </w:pPr>
      <w:r w:rsidRPr="00DC41FB">
        <w:t>This conclusion was already drawn in the Support Document for identification of CTPHT as SVHC (ECHA, 2009).</w:t>
      </w:r>
    </w:p>
    <w:p w14:paraId="45893E3C" w14:textId="77777777" w:rsidR="00B3293D" w:rsidRPr="003E39C1" w:rsidRDefault="00B3293D" w:rsidP="003B3C62">
      <w:pPr>
        <w:widowControl/>
        <w:autoSpaceDE w:val="0"/>
        <w:autoSpaceDN w:val="0"/>
        <w:adjustRightInd w:val="0"/>
      </w:pPr>
    </w:p>
    <w:p w14:paraId="115C5BCD" w14:textId="77777777" w:rsidR="00B12C39" w:rsidRPr="00212DCD" w:rsidRDefault="00852117" w:rsidP="00B76533">
      <w:pPr>
        <w:pStyle w:val="Heading3"/>
        <w:tabs>
          <w:tab w:val="clear" w:pos="360"/>
          <w:tab w:val="num" w:pos="0"/>
        </w:tabs>
      </w:pPr>
      <w:bookmarkStart w:id="227" w:name="_Toc357083651"/>
      <w:bookmarkStart w:id="228" w:name="_Toc357184200"/>
      <w:bookmarkStart w:id="229" w:name="_Toc357184436"/>
      <w:bookmarkStart w:id="230" w:name="_Toc357185238"/>
      <w:bookmarkStart w:id="231" w:name="_Toc357186086"/>
      <w:bookmarkStart w:id="232" w:name="_Toc357186235"/>
      <w:bookmarkStart w:id="233" w:name="_Toc357437521"/>
      <w:bookmarkStart w:id="234" w:name="_Toc357590794"/>
      <w:bookmarkStart w:id="235" w:name="_Toc357692826"/>
      <w:bookmarkStart w:id="236" w:name="_Toc365649653"/>
      <w:bookmarkStart w:id="237" w:name="_Toc365649802"/>
      <w:bookmarkStart w:id="238" w:name="_Toc366489854"/>
      <w:bookmarkStart w:id="239" w:name="_Toc418498559"/>
      <w:bookmarkStart w:id="240" w:name="_Toc418506002"/>
      <w:bookmarkStart w:id="241" w:name="_Toc491868895"/>
      <w:r w:rsidRPr="00212DCD">
        <w:t xml:space="preserve">3.1.2 </w:t>
      </w:r>
      <w:r w:rsidR="00B12C39" w:rsidRPr="00212DCD">
        <w:t>Biodegradation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115C5BCE" w14:textId="43854C5F" w:rsidR="00B12C39" w:rsidRPr="006D21A3" w:rsidRDefault="00852117" w:rsidP="00264345">
      <w:pPr>
        <w:pStyle w:val="Heading4"/>
        <w:keepNext w:val="0"/>
        <w:tabs>
          <w:tab w:val="num" w:pos="284"/>
        </w:tabs>
      </w:pPr>
      <w:bookmarkStart w:id="242" w:name="_Toc341888517"/>
      <w:bookmarkStart w:id="243" w:name="_Toc342400371"/>
      <w:r w:rsidRPr="006D360C">
        <w:t xml:space="preserve">3.1.2.1 </w:t>
      </w:r>
      <w:r w:rsidR="00B12C39" w:rsidRPr="006D360C">
        <w:t>Biodegrad</w:t>
      </w:r>
      <w:r w:rsidR="00B12C39" w:rsidRPr="000A24C2">
        <w:t>ation in water</w:t>
      </w:r>
      <w:bookmarkEnd w:id="242"/>
      <w:bookmarkEnd w:id="243"/>
      <w:r w:rsidR="002040AA" w:rsidRPr="006D21A3">
        <w:t xml:space="preserve"> and sediments</w:t>
      </w:r>
    </w:p>
    <w:p w14:paraId="0F7AA79A" w14:textId="77777777" w:rsidR="001657FF" w:rsidRDefault="002040AA" w:rsidP="00EE622A">
      <w:pPr>
        <w:pStyle w:val="BodyText"/>
        <w:jc w:val="both"/>
      </w:pPr>
      <w:r w:rsidRPr="005B3405">
        <w:t>The biodegradation in water was already assessed in the Support Document for identification of CTPHT as SVHC (ECHA, 2009) and will not be assessed again within this dossier.</w:t>
      </w:r>
    </w:p>
    <w:p w14:paraId="5E78E7AF" w14:textId="77777777" w:rsidR="001657FF" w:rsidRPr="001657FF" w:rsidRDefault="001657FF" w:rsidP="00EE622A">
      <w:pPr>
        <w:pStyle w:val="BodyText"/>
        <w:jc w:val="both"/>
        <w:rPr>
          <w:i/>
        </w:rPr>
      </w:pPr>
      <w:r w:rsidRPr="001657FF">
        <w:t>Tests for biodegradation in water have demonstrated that PAHs with up to four aromatic rings are biodegradable under aerobic conditions, but that biodegradation rates of PAHs with more aromatic rings are very low (The Netherlands, 2008).</w:t>
      </w:r>
    </w:p>
    <w:p w14:paraId="5F5D0A1A" w14:textId="77777777" w:rsidR="001657FF" w:rsidRPr="001657FF" w:rsidRDefault="001657FF" w:rsidP="001657FF">
      <w:pPr>
        <w:pStyle w:val="BodyText"/>
      </w:pPr>
      <w:r w:rsidRPr="001657FF">
        <w:lastRenderedPageBreak/>
        <w:t>As assessed in the Support Document for identification of CTPHT as SVHC (ECHA, 2009):</w:t>
      </w:r>
    </w:p>
    <w:p w14:paraId="0F596602" w14:textId="77777777" w:rsidR="001657FF" w:rsidRPr="001657FF" w:rsidRDefault="001657FF" w:rsidP="001657FF">
      <w:pPr>
        <w:pStyle w:val="BodyText"/>
        <w:rPr>
          <w:i/>
        </w:rPr>
      </w:pPr>
      <w:r w:rsidRPr="001657FF">
        <w:rPr>
          <w:i/>
        </w:rPr>
        <w:t>In general, the biodegradation rates decrease with increasing number of aromatic rings. This correlation has been attributed to factors like the bacterial uptake rate and the bioavailability. The bacterial uptake rate has been shown to be lower for the higher molecular weight PAHs as compared to the PAHs of lower molecular weight. This may be due to the size of high molecular weight members, which limits their ability to cross cellular membranes. In addition, bioavailability is lower for higher molecular PAHs due to adsorption to organic matter in water and sediment. It has further been shown that half-lives of PAHs in estuarine sediment are proportionally related to the octanol-water partition coefficient (</w:t>
      </w:r>
      <w:proofErr w:type="spellStart"/>
      <w:r w:rsidRPr="001657FF">
        <w:rPr>
          <w:i/>
        </w:rPr>
        <w:t>Kow</w:t>
      </w:r>
      <w:proofErr w:type="spellEnd"/>
      <w:r w:rsidRPr="001657FF">
        <w:rPr>
          <w:i/>
        </w:rPr>
        <w:t>) (Durant et al, (1995) cited in The Netherlands, 2008).</w:t>
      </w:r>
    </w:p>
    <w:p w14:paraId="73AB170A" w14:textId="77777777" w:rsidR="001657FF" w:rsidRPr="001657FF" w:rsidRDefault="001657FF" w:rsidP="001657FF">
      <w:pPr>
        <w:pStyle w:val="BodyText"/>
        <w:rPr>
          <w:i/>
        </w:rPr>
      </w:pPr>
      <w:r w:rsidRPr="001657FF">
        <w:rPr>
          <w:i/>
        </w:rPr>
        <w:t>[…]</w:t>
      </w:r>
    </w:p>
    <w:p w14:paraId="059FE34E" w14:textId="77777777" w:rsidR="001657FF" w:rsidRPr="001657FF" w:rsidRDefault="001657FF" w:rsidP="001657FF">
      <w:pPr>
        <w:pStyle w:val="BodyText"/>
        <w:rPr>
          <w:i/>
        </w:rPr>
      </w:pPr>
      <w:r w:rsidRPr="001657FF">
        <w:rPr>
          <w:i/>
        </w:rPr>
        <w:t xml:space="preserve">In general, PAHs are considered to be persistent under anaerobic conditions (Neff (1979); </w:t>
      </w:r>
      <w:proofErr w:type="spellStart"/>
      <w:r w:rsidRPr="001657FF">
        <w:rPr>
          <w:i/>
        </w:rPr>
        <w:t>Volkering</w:t>
      </w:r>
      <w:proofErr w:type="spellEnd"/>
      <w:r w:rsidRPr="001657FF">
        <w:rPr>
          <w:i/>
        </w:rPr>
        <w:t xml:space="preserve"> and </w:t>
      </w:r>
      <w:proofErr w:type="spellStart"/>
      <w:r w:rsidRPr="001657FF">
        <w:rPr>
          <w:i/>
        </w:rPr>
        <w:t>Breure</w:t>
      </w:r>
      <w:proofErr w:type="spellEnd"/>
      <w:r w:rsidRPr="001657FF">
        <w:rPr>
          <w:i/>
        </w:rPr>
        <w:t xml:space="preserve"> (2003) cited in The Netherlands, 2008). Aquatic sediments are often anaerobic with the exception of a few millimetre thick surface layer at the sediment-water interface, which may be dominated by aerobic conditions. The degradation of PAHs in aquatic sediments is therefore expected to be very slow.</w:t>
      </w:r>
    </w:p>
    <w:p w14:paraId="3C09D36B" w14:textId="6B637F02" w:rsidR="00957A9D" w:rsidRPr="00CE229E" w:rsidRDefault="00957A9D" w:rsidP="003B3C62">
      <w:pPr>
        <w:pStyle w:val="BodyText"/>
      </w:pPr>
    </w:p>
    <w:p w14:paraId="115C5BCF" w14:textId="77777777" w:rsidR="001F5783" w:rsidRPr="004A7F1F" w:rsidRDefault="00852117" w:rsidP="00264345">
      <w:pPr>
        <w:pStyle w:val="Heading5"/>
        <w:keepNext w:val="0"/>
        <w:tabs>
          <w:tab w:val="num" w:pos="284"/>
        </w:tabs>
      </w:pPr>
      <w:r w:rsidRPr="004A7F1F">
        <w:t xml:space="preserve">3.1.2.1.1 </w:t>
      </w:r>
      <w:r w:rsidR="001F5783" w:rsidRPr="004A7F1F">
        <w:t>Estimated data</w:t>
      </w:r>
    </w:p>
    <w:p w14:paraId="2A5C1917" w14:textId="71789D74" w:rsidR="00BA5DB2" w:rsidRPr="004A7F1F" w:rsidRDefault="00FF488E" w:rsidP="00EE622A">
      <w:pPr>
        <w:pStyle w:val="BodyText"/>
        <w:jc w:val="both"/>
      </w:pPr>
      <w:r w:rsidRPr="004A7F1F">
        <w:t xml:space="preserve">As assessed in the Support Document for identification of CTPHT as SVHC (ECHA, 2009) </w:t>
      </w:r>
      <w:r w:rsidRPr="004A7F1F">
        <w:rPr>
          <w:i/>
        </w:rPr>
        <w:t>Mackay et al. (1992) estimated half-lives in the different environmental compartments based on model calculations and literature research. The calculated half-lives of CHR in water and sediments are in the range of 42 to 125 days and longer than 1250 days respectively</w:t>
      </w:r>
      <w:r w:rsidRPr="004A7F1F">
        <w:t>.</w:t>
      </w:r>
    </w:p>
    <w:p w14:paraId="115C5BD2" w14:textId="77777777" w:rsidR="00B12C39" w:rsidRPr="004A7F1F" w:rsidRDefault="00852117" w:rsidP="00264345">
      <w:pPr>
        <w:pStyle w:val="Heading4"/>
        <w:tabs>
          <w:tab w:val="num" w:pos="284"/>
        </w:tabs>
      </w:pPr>
      <w:bookmarkStart w:id="244" w:name="_Toc341888522"/>
      <w:bookmarkStart w:id="245" w:name="_Toc342400374"/>
      <w:r w:rsidRPr="004A7F1F">
        <w:t xml:space="preserve">3.1.2.2 </w:t>
      </w:r>
      <w:r w:rsidR="00B12C39" w:rsidRPr="004A7F1F">
        <w:t>Biodegradation in soil</w:t>
      </w:r>
      <w:bookmarkEnd w:id="244"/>
      <w:bookmarkEnd w:id="245"/>
    </w:p>
    <w:p w14:paraId="0456EBAA" w14:textId="77777777" w:rsidR="007F2C3D" w:rsidRPr="004A7F1F" w:rsidRDefault="007F2C3D" w:rsidP="003B3C62">
      <w:pPr>
        <w:pStyle w:val="BodyText"/>
      </w:pPr>
      <w:r w:rsidRPr="004A7F1F">
        <w:t xml:space="preserve">Biodegradation in soil was assessed in the Support Document for identification of CTPHT as SVHC (ECHA, 2009) as follows: </w:t>
      </w:r>
    </w:p>
    <w:p w14:paraId="07B84E50" w14:textId="03AC6C82" w:rsidR="007A3497" w:rsidRPr="004A7F1F" w:rsidRDefault="007F2C3D" w:rsidP="003B3C62">
      <w:pPr>
        <w:pStyle w:val="BodyText"/>
        <w:rPr>
          <w:i/>
        </w:rPr>
      </w:pPr>
      <w:r w:rsidRPr="004A7F1F">
        <w:rPr>
          <w:i/>
        </w:rPr>
        <w:t>Biodegradation rates of PAHs in soil depend on several factors related to the soil type, including pH, moisture content, nutrients, oxygen, and the diversity of the soil microbial population. Various species (bacteria, fungi, yeasts and algae) are known to degrade PAHs in soil (The Netherlands, 2008). It has been shown that the number of PAH-degrading microorganisms and the degradation capacity is higher in PAH-contaminated soils than in pristine soils, something explained by the development of an adapted soil microbial community. Several studies have also been demonstrated enhanced PAH-degradation rates when the soil had been enriched with isolated PAH-degrading microorganisms (</w:t>
      </w:r>
      <w:r w:rsidR="000C307B">
        <w:rPr>
          <w:i/>
        </w:rPr>
        <w:t>[…]</w:t>
      </w:r>
      <w:r w:rsidRPr="004A7F1F">
        <w:rPr>
          <w:i/>
        </w:rPr>
        <w:t xml:space="preserve"> The Netherlands, 2008). On the basis of a comparison between two studies (Wild et al. 1991 and Wild and Jones, 1993) it</w:t>
      </w:r>
      <w:r w:rsidR="00687BF3" w:rsidRPr="004A7F1F">
        <w:rPr>
          <w:i/>
        </w:rPr>
        <w:t xml:space="preserve"> </w:t>
      </w:r>
      <w:r w:rsidRPr="004A7F1F">
        <w:rPr>
          <w:i/>
        </w:rPr>
        <w:t>was illustrated that the half-lives observed under laboratory conditions can be much shorter than</w:t>
      </w:r>
      <w:r w:rsidR="00687BF3" w:rsidRPr="004A7F1F">
        <w:rPr>
          <w:i/>
        </w:rPr>
        <w:t xml:space="preserve"> </w:t>
      </w:r>
      <w:r w:rsidRPr="004A7F1F">
        <w:rPr>
          <w:i/>
        </w:rPr>
        <w:t>those obtained from long-term field studies. This was attributed by the authors to the more optimal</w:t>
      </w:r>
      <w:r w:rsidR="00687BF3" w:rsidRPr="004A7F1F">
        <w:rPr>
          <w:i/>
        </w:rPr>
        <w:t xml:space="preserve"> </w:t>
      </w:r>
      <w:r w:rsidRPr="004A7F1F">
        <w:rPr>
          <w:i/>
        </w:rPr>
        <w:t>conditions (temperature, moisture content, nutrient and oxygen supply) applied in the laboratory</w:t>
      </w:r>
      <w:r w:rsidR="00687BF3" w:rsidRPr="004A7F1F">
        <w:rPr>
          <w:i/>
        </w:rPr>
        <w:t xml:space="preserve"> </w:t>
      </w:r>
      <w:r w:rsidRPr="004A7F1F">
        <w:rPr>
          <w:i/>
        </w:rPr>
        <w:t xml:space="preserve">tests. </w:t>
      </w:r>
    </w:p>
    <w:p w14:paraId="70ED6CD4" w14:textId="3A567574" w:rsidR="00687BF3" w:rsidRPr="004A7F1F" w:rsidRDefault="00687BF3" w:rsidP="003B3C62">
      <w:pPr>
        <w:pStyle w:val="BodyText"/>
        <w:rPr>
          <w:i/>
        </w:rPr>
      </w:pPr>
      <w:r w:rsidRPr="004A7F1F">
        <w:rPr>
          <w:i/>
        </w:rPr>
        <w:t>Wild and Jones (1993) and Wild et al. (1991) studied the biodegradation of PAHs in soil amended with sewage sludge under laboratory and field conditions, respectively.</w:t>
      </w:r>
    </w:p>
    <w:p w14:paraId="21E4AC6C" w14:textId="583DAACF" w:rsidR="00687BF3" w:rsidRPr="004A7F1F" w:rsidRDefault="007B1BB4" w:rsidP="00EE622A">
      <w:pPr>
        <w:pStyle w:val="BodyText"/>
        <w:jc w:val="both"/>
      </w:pPr>
      <w:r>
        <w:t>They</w:t>
      </w:r>
      <w:r w:rsidR="00687BF3" w:rsidRPr="004A7F1F">
        <w:t xml:space="preserve"> determined a </w:t>
      </w:r>
      <w:r>
        <w:t xml:space="preserve">dissipation </w:t>
      </w:r>
      <w:r w:rsidR="00687BF3" w:rsidRPr="004A7F1F">
        <w:t xml:space="preserve">half-life for </w:t>
      </w:r>
      <w:r w:rsidR="00B33217" w:rsidRPr="004A7F1F">
        <w:t>CHR</w:t>
      </w:r>
      <w:r w:rsidR="00687BF3" w:rsidRPr="004A7F1F">
        <w:t xml:space="preserve"> </w:t>
      </w:r>
      <w:r>
        <w:t xml:space="preserve">in the range </w:t>
      </w:r>
      <w:r w:rsidR="00687BF3" w:rsidRPr="004A7F1F">
        <w:t>of 1</w:t>
      </w:r>
      <w:r w:rsidR="00D047E2" w:rsidRPr="004A7F1F">
        <w:t>0</w:t>
      </w:r>
      <w:r w:rsidR="00687BF3" w:rsidRPr="004A7F1F">
        <w:t>6 to 313 days in laboratory soil microcosms and under fi</w:t>
      </w:r>
      <w:r w:rsidR="000811F3" w:rsidRPr="004A7F1F">
        <w:t>eld condition a half-life of 8.1 years.</w:t>
      </w:r>
      <w:r w:rsidR="00EE622A">
        <w:t xml:space="preserve"> </w:t>
      </w:r>
      <w:r w:rsidR="00E845EA">
        <w:t xml:space="preserve">Wild et al. (1991) summarized, </w:t>
      </w:r>
      <w:r w:rsidR="00E845EA" w:rsidRPr="00DC41FB">
        <w:rPr>
          <w:i/>
        </w:rPr>
        <w:t>that biodegradation is the key process in PAH losses from these soils</w:t>
      </w:r>
      <w:r w:rsidR="00E845EA">
        <w:t>.</w:t>
      </w:r>
    </w:p>
    <w:p w14:paraId="465D61C7" w14:textId="2B977EE3" w:rsidR="000811F3" w:rsidRPr="004A7F1F" w:rsidRDefault="00BB007B" w:rsidP="00EE622A">
      <w:pPr>
        <w:pStyle w:val="BodyText"/>
        <w:jc w:val="both"/>
      </w:pPr>
      <w:r w:rsidRPr="004A7F1F">
        <w:lastRenderedPageBreak/>
        <w:t>In addition Mackay et al. (1992) as summari</w:t>
      </w:r>
      <w:r w:rsidR="00F30D5B">
        <w:t>s</w:t>
      </w:r>
      <w:r w:rsidRPr="004A7F1F">
        <w:t xml:space="preserve">ed </w:t>
      </w:r>
      <w:r w:rsidR="00C80B56" w:rsidRPr="004A7F1F">
        <w:t xml:space="preserve">by </w:t>
      </w:r>
      <w:r w:rsidR="00B3465D" w:rsidRPr="004A7F1F">
        <w:t>The Netherlands (</w:t>
      </w:r>
      <w:r w:rsidRPr="004A7F1F">
        <w:t xml:space="preserve">2008) suggested a half-life for </w:t>
      </w:r>
      <w:r w:rsidR="00B33217" w:rsidRPr="004A7F1F">
        <w:t>CHR</w:t>
      </w:r>
      <w:r w:rsidRPr="004A7F1F">
        <w:t xml:space="preserve"> </w:t>
      </w:r>
      <w:r w:rsidR="00B33217" w:rsidRPr="004A7F1F">
        <w:t xml:space="preserve">in </w:t>
      </w:r>
      <w:r w:rsidR="00CF7CE6">
        <w:t>the range</w:t>
      </w:r>
      <w:r w:rsidR="00CF7CE6" w:rsidRPr="004A7F1F">
        <w:t xml:space="preserve"> </w:t>
      </w:r>
      <w:r w:rsidRPr="004A7F1F">
        <w:t>of 420 to 1250 days</w:t>
      </w:r>
      <w:r w:rsidR="00CF7CE6">
        <w:t xml:space="preserve"> in soil</w:t>
      </w:r>
      <w:r w:rsidRPr="004A7F1F">
        <w:t>.</w:t>
      </w:r>
      <w:r w:rsidR="007B1BB4">
        <w:t xml:space="preserve"> These predictions are in line with half-lives observed under laboratory conditions or under environmental conditions (field data).</w:t>
      </w:r>
    </w:p>
    <w:p w14:paraId="0DBAAA15" w14:textId="77777777" w:rsidR="0018312D" w:rsidRPr="004A7F1F" w:rsidRDefault="0018312D" w:rsidP="0018312D">
      <w:pPr>
        <w:pStyle w:val="BodyText"/>
      </w:pPr>
      <w:r w:rsidRPr="004A7F1F">
        <w:t xml:space="preserve">Further the Support Document for identification of CTPHT as SVHC (ECHA, 2009) discusses “aging” for PAHs as following: </w:t>
      </w:r>
    </w:p>
    <w:p w14:paraId="4D1B9290" w14:textId="77777777" w:rsidR="0018312D" w:rsidRPr="004A7F1F" w:rsidRDefault="0018312D" w:rsidP="0018312D">
      <w:pPr>
        <w:widowControl/>
        <w:autoSpaceDE w:val="0"/>
        <w:autoSpaceDN w:val="0"/>
        <w:adjustRightInd w:val="0"/>
        <w:jc w:val="both"/>
      </w:pPr>
      <w:r w:rsidRPr="004A7F1F">
        <w:rPr>
          <w:i/>
          <w:lang w:eastAsia="de-DE"/>
        </w:rPr>
        <w:t>“‘Aging’ is a phenomenon associated with increased residence time of PAHs in soil, which can further decrease the bioavailability of PAHs in the terrestrial environment. Freshly spiked PAHs are more readily desorbed and thus more bioavailable than PAHs that have been in soil or sediment for a longer period of time (The Netherlands, 2008). This means that studies involving artificially added PAHs (e.g. 14C-labelled) often result in biodegradation rates much higher than rates observed for the same substances present in soil as part of a contamination by coal tar.</w:t>
      </w:r>
      <w:r w:rsidRPr="004A7F1F">
        <w:t>”</w:t>
      </w:r>
    </w:p>
    <w:p w14:paraId="410F35D3" w14:textId="77777777" w:rsidR="0018312D" w:rsidRPr="004A7F1F" w:rsidRDefault="0018312D" w:rsidP="003B3C62">
      <w:pPr>
        <w:pStyle w:val="BodyText"/>
      </w:pPr>
    </w:p>
    <w:p w14:paraId="115C5BD3" w14:textId="77777777" w:rsidR="001F5783" w:rsidRPr="00212DCD" w:rsidRDefault="00852117" w:rsidP="00264345">
      <w:pPr>
        <w:pStyle w:val="Heading4"/>
        <w:tabs>
          <w:tab w:val="num" w:pos="284"/>
        </w:tabs>
      </w:pPr>
      <w:r w:rsidRPr="004A7F1F">
        <w:t xml:space="preserve">3.1.2.4 </w:t>
      </w:r>
      <w:r w:rsidR="001F5783" w:rsidRPr="004A7F1F">
        <w:t>Summary and discussion on biodegradation</w:t>
      </w:r>
    </w:p>
    <w:p w14:paraId="2665E733" w14:textId="2043BA71" w:rsidR="00DD389F" w:rsidRDefault="00DD389F" w:rsidP="00DD389F">
      <w:pPr>
        <w:pStyle w:val="BodyText"/>
        <w:jc w:val="both"/>
      </w:pPr>
      <w:r w:rsidRPr="00D10FD9">
        <w:t xml:space="preserve">The </w:t>
      </w:r>
      <w:r>
        <w:t xml:space="preserve">half-life predicted </w:t>
      </w:r>
      <w:r w:rsidRPr="00D10FD9">
        <w:t xml:space="preserve">by </w:t>
      </w:r>
      <w:r w:rsidRPr="00D10FD9">
        <w:rPr>
          <w:noProof/>
        </w:rPr>
        <w:t>Mackay et al. (1992)</w:t>
      </w:r>
      <w:r w:rsidRPr="00D10FD9">
        <w:t xml:space="preserve"> indicate</w:t>
      </w:r>
      <w:r w:rsidR="00D657A5">
        <w:t>s</w:t>
      </w:r>
      <w:r w:rsidRPr="00D10FD9">
        <w:t xml:space="preserve"> that </w:t>
      </w:r>
      <w:r>
        <w:t>CHR</w:t>
      </w:r>
      <w:r w:rsidRPr="00D10FD9">
        <w:t xml:space="preserve"> </w:t>
      </w:r>
      <w:r w:rsidRPr="000961D8">
        <w:t xml:space="preserve">persists in sediment </w:t>
      </w:r>
      <w:r w:rsidRPr="00D10FD9">
        <w:t xml:space="preserve">with half-lives </w:t>
      </w:r>
      <w:r>
        <w:t>higher</w:t>
      </w:r>
      <w:r w:rsidRPr="000961D8">
        <w:t xml:space="preserve"> than </w:t>
      </w:r>
      <w:r w:rsidRPr="00D10FD9">
        <w:t xml:space="preserve">1250 days. </w:t>
      </w:r>
      <w:r>
        <w:t xml:space="preserve">For water degradation, Mackay </w:t>
      </w:r>
      <w:r w:rsidRPr="00025870">
        <w:rPr>
          <w:i/>
        </w:rPr>
        <w:t>et al.</w:t>
      </w:r>
      <w:r>
        <w:t xml:space="preserve"> (1992) predicted long elimination half-lives</w:t>
      </w:r>
      <w:r w:rsidRPr="000961D8">
        <w:t xml:space="preserve"> between </w:t>
      </w:r>
      <w:r w:rsidRPr="00D10FD9">
        <w:t>42 and 125 days</w:t>
      </w:r>
      <w:r>
        <w:t xml:space="preserve">. However, considering the chemical structure of </w:t>
      </w:r>
      <w:r w:rsidR="0076287A">
        <w:t>CHR</w:t>
      </w:r>
      <w:r>
        <w:t xml:space="preserve"> that consists of four aromatic rings, standard tests for biodegradation in water demonstrated that </w:t>
      </w:r>
      <w:r w:rsidR="0076287A">
        <w:t>CHR</w:t>
      </w:r>
      <w:r>
        <w:t xml:space="preserve"> is biodegradable under aerobic conditions</w:t>
      </w:r>
      <w:r w:rsidR="006D124C">
        <w:t>.</w:t>
      </w:r>
      <w:r w:rsidRPr="000961D8">
        <w:t xml:space="preserve"> </w:t>
      </w:r>
      <w:r>
        <w:t xml:space="preserve">Biodegradation studies in laboratory soil microcosms show dissipation half-lives between 106 and 313 days (Wild and Jones, 1993). </w:t>
      </w:r>
      <w:r w:rsidRPr="00D10FD9">
        <w:t>Biode</w:t>
      </w:r>
      <w:r w:rsidRPr="000961D8">
        <w:t xml:space="preserve">gradation studies </w:t>
      </w:r>
      <w:r w:rsidRPr="00D10FD9">
        <w:t xml:space="preserve">on soil </w:t>
      </w:r>
      <w:r w:rsidRPr="000961D8">
        <w:t xml:space="preserve">done by Wild </w:t>
      </w:r>
      <w:r w:rsidRPr="00025870">
        <w:rPr>
          <w:i/>
        </w:rPr>
        <w:t>et al.</w:t>
      </w:r>
      <w:r w:rsidRPr="000961D8">
        <w:t xml:space="preserve"> (1991) revealed a </w:t>
      </w:r>
      <w:r w:rsidR="006D124C">
        <w:t>half-life of CHR</w:t>
      </w:r>
      <w:r w:rsidRPr="00D10FD9">
        <w:t xml:space="preserve"> of more than 8.1</w:t>
      </w:r>
      <w:r w:rsidRPr="000961D8">
        <w:t xml:space="preserve"> years under field conditions.</w:t>
      </w:r>
      <w:r>
        <w:t xml:space="preserve"> </w:t>
      </w:r>
    </w:p>
    <w:p w14:paraId="5B110146" w14:textId="6DD54DD6" w:rsidR="00BB007B" w:rsidRPr="006D21A3" w:rsidRDefault="00BB007B" w:rsidP="00BB007B">
      <w:pPr>
        <w:pStyle w:val="BodyText"/>
        <w:jc w:val="both"/>
      </w:pPr>
      <w:r w:rsidRPr="006D360C">
        <w:t xml:space="preserve">Hence, </w:t>
      </w:r>
      <w:r w:rsidR="006B1C07" w:rsidRPr="006D360C">
        <w:t>CHR</w:t>
      </w:r>
      <w:r w:rsidRPr="000A24C2">
        <w:t xml:space="preserve"> biodegrades very slowly </w:t>
      </w:r>
      <w:r w:rsidR="00AD4ACF" w:rsidRPr="006D21A3">
        <w:t xml:space="preserve">in </w:t>
      </w:r>
      <w:r w:rsidR="00DD389F">
        <w:t xml:space="preserve">sediments and </w:t>
      </w:r>
      <w:r w:rsidRPr="006D21A3">
        <w:t>soil.</w:t>
      </w:r>
    </w:p>
    <w:p w14:paraId="366ABD56" w14:textId="590CA538" w:rsidR="00BB007B" w:rsidRPr="004A7F1F" w:rsidRDefault="00BB007B" w:rsidP="00BB007B">
      <w:pPr>
        <w:pStyle w:val="BodyText"/>
        <w:spacing w:after="0"/>
        <w:jc w:val="both"/>
      </w:pPr>
      <w:r w:rsidRPr="005B3405">
        <w:t>This conclusion was already drawn in the Support Document for identification of CTPHT as SVHC (ECHA, 2009).</w:t>
      </w:r>
      <w:r w:rsidR="0037500D" w:rsidRPr="004A7F1F">
        <w:t xml:space="preserve"> </w:t>
      </w:r>
    </w:p>
    <w:p w14:paraId="115C5BD4" w14:textId="77777777" w:rsidR="00B76614" w:rsidRPr="004A7F1F" w:rsidRDefault="00B76614" w:rsidP="00B76614">
      <w:pPr>
        <w:pStyle w:val="BodyText"/>
      </w:pPr>
    </w:p>
    <w:p w14:paraId="115C5BD7" w14:textId="26803007" w:rsidR="00B12C39" w:rsidRPr="004A7F1F" w:rsidRDefault="00B25391" w:rsidP="00B76533">
      <w:pPr>
        <w:pStyle w:val="Heading3"/>
        <w:tabs>
          <w:tab w:val="clear" w:pos="360"/>
          <w:tab w:val="num" w:pos="0"/>
        </w:tabs>
      </w:pPr>
      <w:bookmarkStart w:id="246" w:name="_Toc341888523"/>
      <w:bookmarkStart w:id="247" w:name="_Toc342400375"/>
      <w:bookmarkStart w:id="248" w:name="_Toc354499577"/>
      <w:bookmarkStart w:id="249" w:name="_Toc357083652"/>
      <w:bookmarkStart w:id="250" w:name="_Toc357184201"/>
      <w:bookmarkStart w:id="251" w:name="_Toc357184437"/>
      <w:bookmarkStart w:id="252" w:name="_Toc357185239"/>
      <w:bookmarkStart w:id="253" w:name="_Toc357186087"/>
      <w:bookmarkStart w:id="254" w:name="_Toc357186236"/>
      <w:bookmarkStart w:id="255" w:name="_Toc357437522"/>
      <w:bookmarkStart w:id="256" w:name="_Toc357590795"/>
      <w:bookmarkStart w:id="257" w:name="_Toc357692827"/>
      <w:bookmarkStart w:id="258" w:name="_Toc365649655"/>
      <w:bookmarkStart w:id="259" w:name="_Toc365649804"/>
      <w:bookmarkStart w:id="260" w:name="_Toc366489856"/>
      <w:bookmarkStart w:id="261" w:name="_Toc418498561"/>
      <w:bookmarkStart w:id="262" w:name="_Toc418506004"/>
      <w:bookmarkStart w:id="263" w:name="_Toc491868896"/>
      <w:r w:rsidRPr="004A7F1F">
        <w:t>3.1.</w:t>
      </w:r>
      <w:r w:rsidR="00B967DD" w:rsidRPr="004A7F1F">
        <w:t>3</w:t>
      </w:r>
      <w:r w:rsidRPr="004A7F1F">
        <w:t xml:space="preserve"> </w:t>
      </w:r>
      <w:r w:rsidR="00B12C39" w:rsidRPr="004A7F1F">
        <w:t>Summary and discussion of degradation</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18BFBC39" w14:textId="68CE96A5" w:rsidR="00DF743D" w:rsidRPr="004A7F1F" w:rsidRDefault="00DF743D" w:rsidP="00EE622A">
      <w:pPr>
        <w:pStyle w:val="BodyText"/>
        <w:jc w:val="both"/>
      </w:pPr>
      <w:r w:rsidRPr="004A7F1F">
        <w:t>CHR has a low water solubility and shows a high tendency to adsorb to particles and organic matter in the environment. The resulting low bioavailability is one of the limiting factors of its biodegradation.</w:t>
      </w:r>
    </w:p>
    <w:p w14:paraId="1FD81C7C" w14:textId="2B17EB67" w:rsidR="001F3601" w:rsidRDefault="00F25E0C" w:rsidP="0004513D">
      <w:pPr>
        <w:pStyle w:val="BodyText"/>
        <w:jc w:val="both"/>
      </w:pPr>
      <w:r>
        <w:t>The predicted half-lives</w:t>
      </w:r>
      <w:r w:rsidR="00C154B3">
        <w:t xml:space="preserve"> range</w:t>
      </w:r>
      <w:r>
        <w:t xml:space="preserve"> </w:t>
      </w:r>
      <w:r w:rsidR="004F2550">
        <w:t>between 42 and 125 days for water degradation and half-lives higher than 1250 days for sediment. Wild and Jones (1993) reported a dissipation half-live for CHR of 106 to 313 days</w:t>
      </w:r>
      <w:r w:rsidR="001F3601">
        <w:t xml:space="preserve"> in a laboratory soil microcosm study. </w:t>
      </w:r>
      <w:r w:rsidR="001F3601">
        <w:rPr>
          <w:rFonts w:cs="Verdana"/>
          <w:lang w:eastAsia="en-GB"/>
        </w:rPr>
        <w:t xml:space="preserve">For assessing the persistence of CHR, half-lives obtained under realistic conditions, such as field conditions, are given higher weight. </w:t>
      </w:r>
      <w:r w:rsidR="004F2550">
        <w:t>Under fie</w:t>
      </w:r>
      <w:r w:rsidR="001F3601">
        <w:t>l</w:t>
      </w:r>
      <w:r w:rsidR="004F2550">
        <w:t xml:space="preserve">d conditions Wild et al. (1991) demonstrated </w:t>
      </w:r>
      <w:r w:rsidR="001F3601">
        <w:t xml:space="preserve">a half-life of more than 8.1 years in soil for CHR. </w:t>
      </w:r>
    </w:p>
    <w:p w14:paraId="0B402D97" w14:textId="3C78362F" w:rsidR="001F3601" w:rsidRDefault="001F3601" w:rsidP="0004513D">
      <w:pPr>
        <w:pStyle w:val="BodyText"/>
        <w:jc w:val="both"/>
      </w:pPr>
      <w:r>
        <w:t xml:space="preserve">It is conclusive that CHR degrades very slowly in sediment and soil. </w:t>
      </w:r>
    </w:p>
    <w:p w14:paraId="4083B165" w14:textId="26E83827" w:rsidR="008F0B1B" w:rsidRDefault="008F0B1B" w:rsidP="00B85EE3">
      <w:pPr>
        <w:pStyle w:val="BodyText"/>
        <w:jc w:val="both"/>
      </w:pPr>
    </w:p>
    <w:p w14:paraId="630C5F4B" w14:textId="77777777" w:rsidR="00CE229E" w:rsidRPr="004A7F1F" w:rsidRDefault="00CE229E" w:rsidP="00B85EE3">
      <w:pPr>
        <w:pStyle w:val="BodyText"/>
        <w:jc w:val="both"/>
      </w:pPr>
    </w:p>
    <w:p w14:paraId="115C5BD8" w14:textId="77777777" w:rsidR="00B12C39" w:rsidRPr="004A7F1F" w:rsidRDefault="00B12C39" w:rsidP="00775002">
      <w:pPr>
        <w:pStyle w:val="BodyText"/>
        <w:ind w:hanging="2127"/>
      </w:pPr>
    </w:p>
    <w:p w14:paraId="115C5BD9" w14:textId="77777777" w:rsidR="00B76533" w:rsidRPr="004A7F1F" w:rsidRDefault="00B25391" w:rsidP="00B76533">
      <w:pPr>
        <w:pStyle w:val="Heading2"/>
      </w:pPr>
      <w:bookmarkStart w:id="264" w:name="_Toc341888525"/>
      <w:bookmarkStart w:id="265" w:name="_Toc342400377"/>
      <w:bookmarkStart w:id="266" w:name="_Toc354499578"/>
      <w:bookmarkStart w:id="267" w:name="_Toc357083653"/>
      <w:bookmarkStart w:id="268" w:name="_Toc357184202"/>
      <w:bookmarkStart w:id="269" w:name="_Toc357184438"/>
      <w:bookmarkStart w:id="270" w:name="_Toc357185240"/>
      <w:bookmarkStart w:id="271" w:name="_Toc357186088"/>
      <w:bookmarkStart w:id="272" w:name="_Toc357186237"/>
      <w:bookmarkStart w:id="273" w:name="_Toc357437523"/>
      <w:bookmarkStart w:id="274" w:name="_Toc357590796"/>
      <w:bookmarkStart w:id="275" w:name="_Toc357692828"/>
      <w:bookmarkStart w:id="276" w:name="_Toc365649656"/>
      <w:bookmarkStart w:id="277" w:name="_Toc365649805"/>
      <w:bookmarkStart w:id="278" w:name="_Toc366489857"/>
      <w:bookmarkStart w:id="279" w:name="_Toc418498562"/>
      <w:bookmarkStart w:id="280" w:name="_Toc418506005"/>
      <w:bookmarkStart w:id="281" w:name="_Toc491868897"/>
      <w:r w:rsidRPr="004A7F1F">
        <w:lastRenderedPageBreak/>
        <w:t xml:space="preserve">3.2 </w:t>
      </w:r>
      <w:r w:rsidR="00B12C39" w:rsidRPr="004A7F1F">
        <w:t>Environmental distribution</w:t>
      </w:r>
      <w:bookmarkStart w:id="282" w:name="_Toc341888526"/>
      <w:bookmarkStart w:id="283" w:name="_Toc342400378"/>
      <w:bookmarkStart w:id="284" w:name="_Toc354499579"/>
      <w:bookmarkStart w:id="285" w:name="_Toc357083654"/>
      <w:bookmarkStart w:id="286" w:name="_Toc357184203"/>
      <w:bookmarkStart w:id="287" w:name="_Toc357184439"/>
      <w:bookmarkStart w:id="288" w:name="_Toc357185241"/>
      <w:bookmarkStart w:id="289" w:name="_Toc357186089"/>
      <w:bookmarkStart w:id="290" w:name="_Toc357186238"/>
      <w:bookmarkStart w:id="291" w:name="_Toc357437524"/>
      <w:bookmarkStart w:id="292" w:name="_Toc357590797"/>
      <w:bookmarkStart w:id="293" w:name="_Toc357692829"/>
      <w:bookmarkStart w:id="294" w:name="_Toc365649657"/>
      <w:bookmarkStart w:id="295" w:name="_Toc365649806"/>
      <w:bookmarkStart w:id="296" w:name="_Toc366489858"/>
      <w:bookmarkStart w:id="297" w:name="_Toc4184985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115C5BDA" w14:textId="77777777" w:rsidR="00B76533" w:rsidRPr="004A7F1F" w:rsidRDefault="00264345" w:rsidP="00B76533">
      <w:pPr>
        <w:pStyle w:val="Heading3"/>
        <w:tabs>
          <w:tab w:val="clear" w:pos="360"/>
          <w:tab w:val="num" w:pos="284"/>
        </w:tabs>
      </w:pPr>
      <w:bookmarkStart w:id="298" w:name="_Toc418506006"/>
      <w:bookmarkStart w:id="299" w:name="_Toc491868898"/>
      <w:r w:rsidRPr="004A7F1F">
        <w:t xml:space="preserve">3.2.1 </w:t>
      </w:r>
      <w:r w:rsidR="00B12C39" w:rsidRPr="004A7F1F">
        <w:t>Adsorption/desorption</w:t>
      </w:r>
      <w:bookmarkStart w:id="300" w:name="_Toc341888527"/>
      <w:bookmarkStart w:id="301" w:name="_Toc342400379"/>
      <w:bookmarkStart w:id="302" w:name="_Toc354499580"/>
      <w:bookmarkStart w:id="303" w:name="_Toc357083655"/>
      <w:bookmarkStart w:id="304" w:name="_Toc357184204"/>
      <w:bookmarkStart w:id="305" w:name="_Toc357184440"/>
      <w:bookmarkStart w:id="306" w:name="_Toc357185242"/>
      <w:bookmarkStart w:id="307" w:name="_Toc357186090"/>
      <w:bookmarkStart w:id="308" w:name="_Toc357186239"/>
      <w:bookmarkStart w:id="309" w:name="_Toc357437525"/>
      <w:bookmarkStart w:id="310" w:name="_Toc357590798"/>
      <w:bookmarkStart w:id="311" w:name="_Toc357692830"/>
      <w:bookmarkStart w:id="312" w:name="_Toc365649658"/>
      <w:bookmarkStart w:id="313" w:name="_Toc365649807"/>
      <w:bookmarkStart w:id="314" w:name="_Toc366489859"/>
      <w:bookmarkStart w:id="315" w:name="_Toc418498564"/>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51507DF6" w14:textId="3CFDAA00" w:rsidR="0004513D" w:rsidRPr="004A7F1F" w:rsidRDefault="00C37C68" w:rsidP="003B3C62">
      <w:pPr>
        <w:pStyle w:val="BodyText"/>
      </w:pPr>
      <w:r w:rsidRPr="004A7F1F">
        <w:t>In the Support Document for identification of CTPHT as SVHC (ECHA, 2009) the adsorption properties of PAH</w:t>
      </w:r>
      <w:r w:rsidR="00EE0CF7" w:rsidRPr="004A7F1F">
        <w:t>s</w:t>
      </w:r>
      <w:r w:rsidRPr="004A7F1F">
        <w:t xml:space="preserve"> are described as follows:</w:t>
      </w:r>
    </w:p>
    <w:p w14:paraId="4224BA1B" w14:textId="222B091F" w:rsidR="00C37C68" w:rsidRPr="004A7F1F" w:rsidRDefault="00C37C68" w:rsidP="003B3C62">
      <w:pPr>
        <w:pStyle w:val="BodyText"/>
        <w:rPr>
          <w:i/>
        </w:rPr>
      </w:pPr>
      <w:r w:rsidRPr="004A7F1F">
        <w:t>“</w:t>
      </w:r>
      <w:r w:rsidRPr="004A7F1F">
        <w:rPr>
          <w:i/>
        </w:rPr>
        <w:t xml:space="preserve">A linear relationship between </w:t>
      </w:r>
      <w:proofErr w:type="spellStart"/>
      <w:r w:rsidRPr="004A7F1F">
        <w:rPr>
          <w:i/>
        </w:rPr>
        <w:t>Kow</w:t>
      </w:r>
      <w:proofErr w:type="spellEnd"/>
      <w:r w:rsidRPr="004A7F1F">
        <w:rPr>
          <w:i/>
        </w:rPr>
        <w:t xml:space="preserve"> and the organic carbon-water partitioning coefficient </w:t>
      </w:r>
      <w:proofErr w:type="spellStart"/>
      <w:r w:rsidRPr="004A7F1F">
        <w:rPr>
          <w:i/>
        </w:rPr>
        <w:t>Koc</w:t>
      </w:r>
      <w:proofErr w:type="spellEnd"/>
      <w:r w:rsidRPr="004A7F1F">
        <w:rPr>
          <w:i/>
        </w:rPr>
        <w:t xml:space="preserve"> has been demonstrated for PAHs in sediments and soil. The Log </w:t>
      </w:r>
      <w:proofErr w:type="spellStart"/>
      <w:r w:rsidRPr="004A7F1F">
        <w:rPr>
          <w:i/>
        </w:rPr>
        <w:t>Kow</w:t>
      </w:r>
      <w:proofErr w:type="spellEnd"/>
      <w:r w:rsidRPr="004A7F1F">
        <w:rPr>
          <w:i/>
        </w:rPr>
        <w:t xml:space="preserve"> values from 4.6 to 6.6 can be translated as a high potential for partitioning to soils and sediments. Partitioning processes like adsorption to airborne particulate matter, as well as accumulation in sludge during wastewater treatment, have been demonstrated especially for high molecular weight PAHs (The Netherlands, 2008).”</w:t>
      </w:r>
    </w:p>
    <w:p w14:paraId="6809B2A4" w14:textId="76B43F74" w:rsidR="00C37C68" w:rsidRPr="004A7F1F" w:rsidRDefault="005C6F67" w:rsidP="00EE622A">
      <w:pPr>
        <w:pStyle w:val="BodyText"/>
        <w:jc w:val="both"/>
      </w:pPr>
      <w:r w:rsidRPr="004A7F1F">
        <w:t>CHR</w:t>
      </w:r>
      <w:r w:rsidR="00857D8C" w:rsidRPr="004A7F1F">
        <w:t xml:space="preserve"> has a Log </w:t>
      </w:r>
      <w:proofErr w:type="spellStart"/>
      <w:r w:rsidR="00857D8C" w:rsidRPr="004A7F1F">
        <w:t>Kow</w:t>
      </w:r>
      <w:proofErr w:type="spellEnd"/>
      <w:r w:rsidR="00857D8C" w:rsidRPr="004A7F1F">
        <w:t xml:space="preserve"> value of 5.</w:t>
      </w:r>
      <w:r w:rsidRPr="004A7F1F">
        <w:t>73</w:t>
      </w:r>
      <w:r w:rsidR="00C37C68" w:rsidRPr="004A7F1F">
        <w:t xml:space="preserve">. It is therefore concluded that </w:t>
      </w:r>
      <w:r w:rsidRPr="004A7F1F">
        <w:t>CHR</w:t>
      </w:r>
      <w:r w:rsidR="00C37C68" w:rsidRPr="004A7F1F">
        <w:t xml:space="preserve"> has a high potential to adsorb </w:t>
      </w:r>
      <w:r w:rsidR="00857D8C" w:rsidRPr="004A7F1F">
        <w:t>to particles</w:t>
      </w:r>
      <w:r w:rsidR="00867C6D" w:rsidRPr="004A7F1F">
        <w:t xml:space="preserve"> in the environment</w:t>
      </w:r>
      <w:r w:rsidR="00857D8C" w:rsidRPr="004A7F1F">
        <w:t>.</w:t>
      </w:r>
    </w:p>
    <w:p w14:paraId="115C5BDB" w14:textId="77777777" w:rsidR="00B76533" w:rsidRPr="004A7F1F" w:rsidRDefault="00264345" w:rsidP="00EE622A">
      <w:pPr>
        <w:pStyle w:val="Heading3"/>
        <w:tabs>
          <w:tab w:val="clear" w:pos="360"/>
          <w:tab w:val="num" w:pos="284"/>
        </w:tabs>
        <w:jc w:val="both"/>
      </w:pPr>
      <w:bookmarkStart w:id="316" w:name="_Toc418506007"/>
      <w:bookmarkStart w:id="317" w:name="_Toc491868899"/>
      <w:r w:rsidRPr="004A7F1F">
        <w:t xml:space="preserve">3.2.2 </w:t>
      </w:r>
      <w:r w:rsidR="00B12C39" w:rsidRPr="004A7F1F">
        <w:t>Volatilisation</w:t>
      </w:r>
      <w:bookmarkStart w:id="318" w:name="_Toc341888528"/>
      <w:bookmarkStart w:id="319" w:name="_Toc342400380"/>
      <w:bookmarkStart w:id="320" w:name="_Toc354499581"/>
      <w:bookmarkStart w:id="321" w:name="_Toc357083656"/>
      <w:bookmarkStart w:id="322" w:name="_Toc357184205"/>
      <w:bookmarkStart w:id="323" w:name="_Toc357184441"/>
      <w:bookmarkStart w:id="324" w:name="_Toc357185243"/>
      <w:bookmarkStart w:id="325" w:name="_Toc357186091"/>
      <w:bookmarkStart w:id="326" w:name="_Toc357186240"/>
      <w:bookmarkStart w:id="327" w:name="_Toc357437526"/>
      <w:bookmarkStart w:id="328" w:name="_Toc357590799"/>
      <w:bookmarkStart w:id="329" w:name="_Toc357692831"/>
      <w:bookmarkStart w:id="330" w:name="_Toc365649659"/>
      <w:bookmarkStart w:id="331" w:name="_Toc365649808"/>
      <w:bookmarkStart w:id="332" w:name="_Toc366489860"/>
      <w:bookmarkStart w:id="333" w:name="_Toc418498565"/>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7B689ABC" w14:textId="08EE32BE" w:rsidR="00CC611F" w:rsidRPr="004A7F1F" w:rsidRDefault="005C6F67" w:rsidP="00EE622A">
      <w:pPr>
        <w:pStyle w:val="BodyText"/>
        <w:jc w:val="both"/>
      </w:pPr>
      <w:r w:rsidRPr="004A7F1F">
        <w:t>CHR</w:t>
      </w:r>
      <w:r w:rsidR="00CC611F" w:rsidRPr="004A7F1F">
        <w:t xml:space="preserve"> has reported </w:t>
      </w:r>
      <w:r w:rsidR="00857D8C" w:rsidRPr="004A7F1F">
        <w:t xml:space="preserve">vapour pressure </w:t>
      </w:r>
      <w:r w:rsidR="00CC611F" w:rsidRPr="004A7F1F">
        <w:t>values between</w:t>
      </w:r>
      <w:r w:rsidR="00857D8C" w:rsidRPr="004A7F1F">
        <w:t xml:space="preserve"> </w:t>
      </w:r>
      <w:r w:rsidRPr="004A7F1F">
        <w:t>8.4</w:t>
      </w:r>
      <w:r w:rsidR="00CC611F" w:rsidRPr="004A7F1F">
        <w:t xml:space="preserve"> x 10</w:t>
      </w:r>
      <w:r w:rsidR="00CC611F" w:rsidRPr="004A7F1F">
        <w:rPr>
          <w:vertAlign w:val="superscript"/>
        </w:rPr>
        <w:t>-7</w:t>
      </w:r>
      <w:r w:rsidR="00CC611F" w:rsidRPr="004A7F1F">
        <w:t xml:space="preserve"> Pa at 2</w:t>
      </w:r>
      <w:r w:rsidRPr="004A7F1F">
        <w:t>5</w:t>
      </w:r>
      <w:r w:rsidR="00CC611F" w:rsidRPr="004A7F1F">
        <w:t>°C and 1.7 x10</w:t>
      </w:r>
      <w:r w:rsidR="00CC611F" w:rsidRPr="004A7F1F">
        <w:rPr>
          <w:vertAlign w:val="superscript"/>
        </w:rPr>
        <w:t>-</w:t>
      </w:r>
      <w:r w:rsidRPr="004A7F1F">
        <w:rPr>
          <w:vertAlign w:val="superscript"/>
        </w:rPr>
        <w:t>4</w:t>
      </w:r>
      <w:r w:rsidR="00CC611F" w:rsidRPr="004A7F1F">
        <w:t xml:space="preserve"> Pa at 2</w:t>
      </w:r>
      <w:r w:rsidRPr="004A7F1F">
        <w:t>0</w:t>
      </w:r>
      <w:r w:rsidR="00CC611F" w:rsidRPr="004A7F1F">
        <w:t>°C (Mackay</w:t>
      </w:r>
      <w:r w:rsidR="00714F82" w:rsidRPr="004A7F1F">
        <w:t xml:space="preserve"> et al.,</w:t>
      </w:r>
      <w:r w:rsidR="00CC611F" w:rsidRPr="004A7F1F">
        <w:t xml:space="preserve"> 2006).</w:t>
      </w:r>
      <w:r w:rsidR="00DD7720" w:rsidRPr="004A7F1F">
        <w:t xml:space="preserve"> </w:t>
      </w:r>
      <w:r w:rsidR="00CC611F" w:rsidRPr="004A7F1F">
        <w:t xml:space="preserve">It is therefore concluded that </w:t>
      </w:r>
      <w:r w:rsidRPr="004A7F1F">
        <w:t>CHR</w:t>
      </w:r>
      <w:r w:rsidR="00CC611F" w:rsidRPr="004A7F1F">
        <w:t xml:space="preserve"> is expected to volatilise very slowly. Further The Netherlands (2008) concluded</w:t>
      </w:r>
      <w:r w:rsidR="00426653" w:rsidRPr="004A7F1F">
        <w:t>, that “</w:t>
      </w:r>
      <w:r w:rsidR="00426653" w:rsidRPr="004A7F1F">
        <w:rPr>
          <w:i/>
        </w:rPr>
        <w:t>volatilisation of PAHs is insignificant”</w:t>
      </w:r>
      <w:r w:rsidR="00426653" w:rsidRPr="004A7F1F">
        <w:t>.</w:t>
      </w:r>
    </w:p>
    <w:p w14:paraId="115C5BDC" w14:textId="77777777" w:rsidR="00B12C39" w:rsidRPr="004A7F1F" w:rsidRDefault="00264345" w:rsidP="00B76533">
      <w:pPr>
        <w:pStyle w:val="Heading3"/>
        <w:tabs>
          <w:tab w:val="clear" w:pos="360"/>
          <w:tab w:val="num" w:pos="284"/>
        </w:tabs>
      </w:pPr>
      <w:bookmarkStart w:id="334" w:name="_Toc418506008"/>
      <w:bookmarkStart w:id="335" w:name="_Toc491868900"/>
      <w:r w:rsidRPr="004A7F1F">
        <w:t xml:space="preserve">3.2.3 </w:t>
      </w:r>
      <w:r w:rsidR="00B12C39" w:rsidRPr="004A7F1F">
        <w:t>Distribution modellin</w:t>
      </w:r>
      <w:bookmarkEnd w:id="318"/>
      <w:r w:rsidR="00B12C39" w:rsidRPr="004A7F1F">
        <w:t>g</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00B12C39" w:rsidRPr="004A7F1F">
        <w:t xml:space="preserve"> </w:t>
      </w:r>
    </w:p>
    <w:p w14:paraId="73D08AE3" w14:textId="296C60ED" w:rsidR="004A662F" w:rsidRPr="004A7F1F" w:rsidRDefault="00457AFA" w:rsidP="003B3C62">
      <w:pPr>
        <w:pStyle w:val="BodyText"/>
      </w:pPr>
      <w:r w:rsidRPr="004A7F1F">
        <w:t xml:space="preserve">Mackay Level III fugacity modelling was done using EPI Suite (version 4.11) </w:t>
      </w:r>
      <w:r w:rsidR="00A06EF4" w:rsidRPr="004A7F1F">
        <w:t xml:space="preserve">with default values of environmental emission rates </w:t>
      </w:r>
      <w:r w:rsidR="00B624DB">
        <w:t xml:space="preserve">(it is assumed that CHR is released at equal rates to air, water, soil and sediment) and default values of </w:t>
      </w:r>
      <w:proofErr w:type="spellStart"/>
      <w:r w:rsidR="00B624DB">
        <w:t>physico</w:t>
      </w:r>
      <w:proofErr w:type="spellEnd"/>
      <w:r w:rsidR="00B624DB">
        <w:t xml:space="preserve">-chemical properties </w:t>
      </w:r>
      <w:r w:rsidR="00A06EF4" w:rsidRPr="004A7F1F">
        <w:t xml:space="preserve">(done in </w:t>
      </w:r>
      <w:r w:rsidR="007F2DF0" w:rsidRPr="004A7F1F">
        <w:t>April</w:t>
      </w:r>
      <w:r w:rsidRPr="004A7F1F">
        <w:t xml:space="preserve"> 2017</w:t>
      </w:r>
      <w:r w:rsidR="00A06EF4" w:rsidRPr="004A7F1F">
        <w:t>)</w:t>
      </w:r>
      <w:r w:rsidRPr="004A7F1F">
        <w:t xml:space="preserve">. Calculation revealed a distribution </w:t>
      </w:r>
      <w:r w:rsidR="009265C6" w:rsidRPr="004A7F1F">
        <w:t xml:space="preserve">of </w:t>
      </w:r>
      <w:r w:rsidR="005C6F67" w:rsidRPr="004A7F1F">
        <w:t>CHR</w:t>
      </w:r>
      <w:r w:rsidR="009265C6" w:rsidRPr="004A7F1F">
        <w:t xml:space="preserve"> </w:t>
      </w:r>
      <w:r w:rsidRPr="004A7F1F">
        <w:t xml:space="preserve">to </w:t>
      </w:r>
      <w:r w:rsidR="009265C6" w:rsidRPr="004A7F1F">
        <w:t>soil and sediment phase (</w:t>
      </w:r>
      <w:r w:rsidR="00CD3779" w:rsidRPr="004A7F1F">
        <w:t xml:space="preserve">table </w:t>
      </w:r>
      <w:r w:rsidR="00A208D1" w:rsidRPr="004A7F1F">
        <w:t>4</w:t>
      </w:r>
      <w:r w:rsidR="009265C6" w:rsidRPr="004A7F1F">
        <w:t>).</w:t>
      </w:r>
    </w:p>
    <w:p w14:paraId="658AF252" w14:textId="3402A29B" w:rsidR="00CD3779" w:rsidRPr="004A7F1F" w:rsidRDefault="002E759D" w:rsidP="003B3C62">
      <w:pPr>
        <w:pStyle w:val="Caption"/>
        <w:rPr>
          <w:sz w:val="20"/>
          <w:szCs w:val="20"/>
        </w:rPr>
      </w:pPr>
      <w:bookmarkStart w:id="336" w:name="_Toc492027483"/>
      <w:r w:rsidRPr="004A7F1F">
        <w:rPr>
          <w:sz w:val="20"/>
          <w:szCs w:val="20"/>
        </w:rPr>
        <w:t xml:space="preserve">Table </w:t>
      </w:r>
      <w:r w:rsidRPr="002567E3">
        <w:rPr>
          <w:sz w:val="20"/>
          <w:szCs w:val="20"/>
        </w:rPr>
        <w:fldChar w:fldCharType="begin"/>
      </w:r>
      <w:r w:rsidRPr="004A7F1F">
        <w:rPr>
          <w:sz w:val="20"/>
          <w:szCs w:val="20"/>
        </w:rPr>
        <w:instrText xml:space="preserve"> SEQ Table \* ARABIC </w:instrText>
      </w:r>
      <w:r w:rsidRPr="002567E3">
        <w:rPr>
          <w:sz w:val="20"/>
          <w:szCs w:val="20"/>
        </w:rPr>
        <w:fldChar w:fldCharType="separate"/>
      </w:r>
      <w:r w:rsidR="009D4B0B">
        <w:rPr>
          <w:noProof/>
          <w:sz w:val="20"/>
          <w:szCs w:val="20"/>
        </w:rPr>
        <w:t>4</w:t>
      </w:r>
      <w:r w:rsidRPr="002567E3">
        <w:rPr>
          <w:sz w:val="20"/>
          <w:szCs w:val="20"/>
        </w:rPr>
        <w:fldChar w:fldCharType="end"/>
      </w:r>
      <w:r w:rsidR="00CD3779" w:rsidRPr="004A7F1F">
        <w:rPr>
          <w:sz w:val="20"/>
          <w:szCs w:val="20"/>
        </w:rPr>
        <w:t xml:space="preserve">: Fugacity Model calculation (EPI Suite, version 4.11) of </w:t>
      </w:r>
      <w:r w:rsidR="007F2DF0" w:rsidRPr="004A7F1F">
        <w:rPr>
          <w:sz w:val="20"/>
          <w:szCs w:val="20"/>
        </w:rPr>
        <w:t>CHR</w:t>
      </w:r>
      <w:bookmarkEnd w:id="336"/>
    </w:p>
    <w:tbl>
      <w:tblPr>
        <w:tblStyle w:val="TableGrid"/>
        <w:tblW w:w="0" w:type="auto"/>
        <w:tblLook w:val="04A0" w:firstRow="1" w:lastRow="0" w:firstColumn="1" w:lastColumn="0" w:noHBand="0" w:noVBand="1"/>
      </w:tblPr>
      <w:tblGrid>
        <w:gridCol w:w="4518"/>
        <w:gridCol w:w="4499"/>
      </w:tblGrid>
      <w:tr w:rsidR="000F4D68" w:rsidRPr="004A7F1F" w14:paraId="76018425" w14:textId="77777777" w:rsidTr="000F4D68">
        <w:tc>
          <w:tcPr>
            <w:tcW w:w="4814" w:type="dxa"/>
          </w:tcPr>
          <w:p w14:paraId="74C52A01" w14:textId="443BF027" w:rsidR="000F4D68" w:rsidRPr="004A7F1F" w:rsidRDefault="000F4D68" w:rsidP="004A662F">
            <w:pPr>
              <w:pStyle w:val="BodyText"/>
            </w:pPr>
            <w:r w:rsidRPr="004A7F1F">
              <w:t>Distribution to:</w:t>
            </w:r>
          </w:p>
        </w:tc>
        <w:tc>
          <w:tcPr>
            <w:tcW w:w="4815" w:type="dxa"/>
          </w:tcPr>
          <w:p w14:paraId="4AE95F80" w14:textId="29BC9DF2" w:rsidR="000F4D68" w:rsidRPr="004A7F1F" w:rsidRDefault="000F4D68" w:rsidP="004A662F">
            <w:pPr>
              <w:pStyle w:val="BodyText"/>
            </w:pPr>
            <w:r w:rsidRPr="004A7F1F">
              <w:t>Mass amount (percent)</w:t>
            </w:r>
          </w:p>
        </w:tc>
      </w:tr>
      <w:tr w:rsidR="000F4D68" w:rsidRPr="004A7F1F" w14:paraId="092D9894" w14:textId="77777777" w:rsidTr="000F4D68">
        <w:tc>
          <w:tcPr>
            <w:tcW w:w="4814" w:type="dxa"/>
          </w:tcPr>
          <w:p w14:paraId="333766B2" w14:textId="4A78D771" w:rsidR="000F4D68" w:rsidRPr="004A7F1F" w:rsidRDefault="000F4D68" w:rsidP="004A662F">
            <w:pPr>
              <w:pStyle w:val="BodyText"/>
            </w:pPr>
            <w:r w:rsidRPr="004A7F1F">
              <w:t>Air</w:t>
            </w:r>
          </w:p>
        </w:tc>
        <w:tc>
          <w:tcPr>
            <w:tcW w:w="4815" w:type="dxa"/>
          </w:tcPr>
          <w:p w14:paraId="6F6B79D3" w14:textId="370171AA" w:rsidR="000F4D68" w:rsidRPr="004A7F1F" w:rsidRDefault="000F4D68">
            <w:pPr>
              <w:pStyle w:val="BodyText"/>
            </w:pPr>
            <w:r w:rsidRPr="004A7F1F">
              <w:t>0.0</w:t>
            </w:r>
            <w:r w:rsidR="007F2DF0" w:rsidRPr="004A7F1F">
              <w:t>58</w:t>
            </w:r>
          </w:p>
        </w:tc>
      </w:tr>
      <w:tr w:rsidR="000F4D68" w:rsidRPr="004A7F1F" w14:paraId="6D69C76E" w14:textId="77777777" w:rsidTr="000F4D68">
        <w:tc>
          <w:tcPr>
            <w:tcW w:w="4814" w:type="dxa"/>
          </w:tcPr>
          <w:p w14:paraId="3543223C" w14:textId="6E5282A8" w:rsidR="000F4D68" w:rsidRPr="004A7F1F" w:rsidRDefault="000F4D68" w:rsidP="004A662F">
            <w:pPr>
              <w:pStyle w:val="BodyText"/>
            </w:pPr>
            <w:r w:rsidRPr="004A7F1F">
              <w:t>Water</w:t>
            </w:r>
          </w:p>
        </w:tc>
        <w:tc>
          <w:tcPr>
            <w:tcW w:w="4815" w:type="dxa"/>
          </w:tcPr>
          <w:p w14:paraId="6B8521AD" w14:textId="35F995E3" w:rsidR="000F4D68" w:rsidRPr="004A7F1F" w:rsidRDefault="000F4D68">
            <w:pPr>
              <w:pStyle w:val="BodyText"/>
            </w:pPr>
            <w:r w:rsidRPr="004A7F1F">
              <w:t>4.</w:t>
            </w:r>
            <w:r w:rsidR="007F2DF0" w:rsidRPr="004A7F1F">
              <w:t>3</w:t>
            </w:r>
            <w:r w:rsidRPr="004A7F1F">
              <w:t>3</w:t>
            </w:r>
          </w:p>
        </w:tc>
      </w:tr>
      <w:tr w:rsidR="000F4D68" w:rsidRPr="004A7F1F" w14:paraId="376081F0" w14:textId="77777777" w:rsidTr="000F4D68">
        <w:tc>
          <w:tcPr>
            <w:tcW w:w="4814" w:type="dxa"/>
          </w:tcPr>
          <w:p w14:paraId="0E14C239" w14:textId="7A4F27DB" w:rsidR="000F4D68" w:rsidRPr="004A7F1F" w:rsidRDefault="000F4D68" w:rsidP="004A662F">
            <w:pPr>
              <w:pStyle w:val="BodyText"/>
            </w:pPr>
            <w:r w:rsidRPr="004A7F1F">
              <w:t>Soil</w:t>
            </w:r>
          </w:p>
        </w:tc>
        <w:tc>
          <w:tcPr>
            <w:tcW w:w="4815" w:type="dxa"/>
          </w:tcPr>
          <w:p w14:paraId="4D6BB08A" w14:textId="42F7F723" w:rsidR="000F4D68" w:rsidRPr="004A7F1F" w:rsidRDefault="000F4D68" w:rsidP="004A662F">
            <w:pPr>
              <w:pStyle w:val="BodyText"/>
            </w:pPr>
            <w:r w:rsidRPr="004A7F1F">
              <w:t>47</w:t>
            </w:r>
            <w:r w:rsidR="007F2DF0" w:rsidRPr="004A7F1F">
              <w:t>.6</w:t>
            </w:r>
          </w:p>
        </w:tc>
      </w:tr>
      <w:tr w:rsidR="000F4D68" w:rsidRPr="004A7F1F" w14:paraId="0DAAC66F" w14:textId="77777777" w:rsidTr="000F4D68">
        <w:tc>
          <w:tcPr>
            <w:tcW w:w="4814" w:type="dxa"/>
          </w:tcPr>
          <w:p w14:paraId="0C65ABEF" w14:textId="49B9090D" w:rsidR="000F4D68" w:rsidRPr="004A7F1F" w:rsidRDefault="000F4D68" w:rsidP="004A662F">
            <w:pPr>
              <w:pStyle w:val="BodyText"/>
            </w:pPr>
            <w:r w:rsidRPr="004A7F1F">
              <w:t>Sediment</w:t>
            </w:r>
          </w:p>
        </w:tc>
        <w:tc>
          <w:tcPr>
            <w:tcW w:w="4815" w:type="dxa"/>
          </w:tcPr>
          <w:p w14:paraId="338197D6" w14:textId="0F3F8109" w:rsidR="000F4D68" w:rsidRPr="004A7F1F" w:rsidRDefault="007F2DF0" w:rsidP="004A662F">
            <w:pPr>
              <w:pStyle w:val="BodyText"/>
            </w:pPr>
            <w:r w:rsidRPr="004A7F1F">
              <w:t>48</w:t>
            </w:r>
          </w:p>
        </w:tc>
      </w:tr>
    </w:tbl>
    <w:p w14:paraId="45B2A770" w14:textId="77777777" w:rsidR="009265C6" w:rsidRPr="004A7F1F" w:rsidRDefault="009265C6" w:rsidP="003B3C62">
      <w:pPr>
        <w:pStyle w:val="BodyText"/>
      </w:pPr>
    </w:p>
    <w:p w14:paraId="115C5BDE" w14:textId="71C958A2" w:rsidR="00B12C39" w:rsidRPr="004A7F1F" w:rsidRDefault="00264345" w:rsidP="00B76533">
      <w:pPr>
        <w:pStyle w:val="Heading3"/>
        <w:tabs>
          <w:tab w:val="clear" w:pos="360"/>
          <w:tab w:val="num" w:pos="284"/>
        </w:tabs>
      </w:pPr>
      <w:bookmarkStart w:id="337" w:name="_Toc342400381"/>
      <w:bookmarkStart w:id="338" w:name="_Toc354499582"/>
      <w:bookmarkStart w:id="339" w:name="_Toc357083657"/>
      <w:bookmarkStart w:id="340" w:name="_Toc357184206"/>
      <w:bookmarkStart w:id="341" w:name="_Toc357184442"/>
      <w:bookmarkStart w:id="342" w:name="_Toc357185244"/>
      <w:bookmarkStart w:id="343" w:name="_Toc357186092"/>
      <w:bookmarkStart w:id="344" w:name="_Toc357186241"/>
      <w:bookmarkStart w:id="345" w:name="_Toc357437527"/>
      <w:bookmarkStart w:id="346" w:name="_Toc357590800"/>
      <w:bookmarkStart w:id="347" w:name="_Toc357692832"/>
      <w:bookmarkStart w:id="348" w:name="_Toc365649661"/>
      <w:bookmarkStart w:id="349" w:name="_Toc365649810"/>
      <w:bookmarkStart w:id="350" w:name="_Toc366489862"/>
      <w:bookmarkStart w:id="351" w:name="_Toc418498567"/>
      <w:bookmarkStart w:id="352" w:name="_Toc418506010"/>
      <w:bookmarkStart w:id="353" w:name="_Toc491868901"/>
      <w:r w:rsidRPr="004A7F1F">
        <w:t>3.2.</w:t>
      </w:r>
      <w:r w:rsidR="00B967DD" w:rsidRPr="004A7F1F">
        <w:t>4</w:t>
      </w:r>
      <w:r w:rsidRPr="004A7F1F">
        <w:t xml:space="preserve"> </w:t>
      </w:r>
      <w:r w:rsidR="00B12C39" w:rsidRPr="004A7F1F">
        <w:t>Summary and discussion of environmental distribution</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115C5BDF" w14:textId="60AEA8F8" w:rsidR="00B12C39" w:rsidRDefault="007F2DF0" w:rsidP="00B12C39">
      <w:pPr>
        <w:pStyle w:val="BodyText"/>
      </w:pPr>
      <w:r w:rsidRPr="004A7F1F">
        <w:t>CHR</w:t>
      </w:r>
      <w:r w:rsidR="0069168F" w:rsidRPr="004A7F1F">
        <w:t xml:space="preserve"> has a high potential to adsorb to particles and volatilisation </w:t>
      </w:r>
      <w:r w:rsidR="00502F35" w:rsidRPr="004A7F1F">
        <w:t xml:space="preserve">of </w:t>
      </w:r>
      <w:r w:rsidRPr="004A7F1F">
        <w:t>CHR</w:t>
      </w:r>
      <w:r w:rsidR="00502F35" w:rsidRPr="004A7F1F">
        <w:t xml:space="preserve"> </w:t>
      </w:r>
      <w:r w:rsidR="0069168F" w:rsidRPr="004A7F1F">
        <w:t xml:space="preserve">is </w:t>
      </w:r>
      <w:r w:rsidR="00502F35" w:rsidRPr="004A7F1F">
        <w:t xml:space="preserve">insignificant. Further modelling </w:t>
      </w:r>
      <w:r w:rsidR="003D6053" w:rsidRPr="004A7F1F">
        <w:t xml:space="preserve">the fugacity </w:t>
      </w:r>
      <w:r w:rsidR="00A06EF4" w:rsidRPr="004A7F1F">
        <w:t xml:space="preserve">reveals that </w:t>
      </w:r>
      <w:r w:rsidRPr="004A7F1F">
        <w:t>CHR</w:t>
      </w:r>
      <w:r w:rsidR="00A06EF4" w:rsidRPr="004A7F1F">
        <w:t xml:space="preserve"> is mainly distributed in soil and sediment. </w:t>
      </w:r>
    </w:p>
    <w:p w14:paraId="6CB0ABEA" w14:textId="77777777" w:rsidR="00CE229E" w:rsidRDefault="00CE229E" w:rsidP="00B12C39">
      <w:pPr>
        <w:pStyle w:val="BodyText"/>
      </w:pPr>
    </w:p>
    <w:p w14:paraId="50C030E2" w14:textId="77777777" w:rsidR="00CE229E" w:rsidRDefault="00CE229E" w:rsidP="00B12C39">
      <w:pPr>
        <w:pStyle w:val="BodyText"/>
      </w:pPr>
    </w:p>
    <w:p w14:paraId="7820381F" w14:textId="77777777" w:rsidR="00CE229E" w:rsidRPr="004A7F1F" w:rsidRDefault="00CE229E" w:rsidP="00B12C39">
      <w:pPr>
        <w:pStyle w:val="BodyText"/>
      </w:pPr>
    </w:p>
    <w:p w14:paraId="115C5BE0" w14:textId="77777777" w:rsidR="007F219F" w:rsidRPr="004A7F1F" w:rsidRDefault="003B1B52" w:rsidP="00C748EF">
      <w:pPr>
        <w:pStyle w:val="Heading2"/>
        <w:keepNext w:val="0"/>
      </w:pPr>
      <w:bookmarkStart w:id="354" w:name="_Toc365649662"/>
      <w:bookmarkStart w:id="355" w:name="_Toc365649811"/>
      <w:bookmarkStart w:id="356" w:name="_Toc366489863"/>
      <w:bookmarkStart w:id="357" w:name="_Toc418498568"/>
      <w:bookmarkStart w:id="358" w:name="_Toc418506011"/>
      <w:bookmarkStart w:id="359" w:name="_Toc491868902"/>
      <w:bookmarkStart w:id="360" w:name="_Toc354499583"/>
      <w:bookmarkStart w:id="361" w:name="_Toc357083658"/>
      <w:bookmarkStart w:id="362" w:name="_Toc357184207"/>
      <w:bookmarkStart w:id="363" w:name="_Toc357184443"/>
      <w:bookmarkStart w:id="364" w:name="_Toc357185245"/>
      <w:bookmarkStart w:id="365" w:name="_Toc357186093"/>
      <w:bookmarkStart w:id="366" w:name="_Toc357186242"/>
      <w:bookmarkStart w:id="367" w:name="_Toc357437528"/>
      <w:bookmarkStart w:id="368" w:name="_Toc357590801"/>
      <w:bookmarkStart w:id="369" w:name="_Toc357692833"/>
      <w:bookmarkStart w:id="370" w:name="_Toc341888529"/>
      <w:bookmarkStart w:id="371" w:name="_Toc342400382"/>
      <w:r w:rsidRPr="004A7F1F">
        <w:lastRenderedPageBreak/>
        <w:t xml:space="preserve">3.3 </w:t>
      </w:r>
      <w:r w:rsidR="007F219F" w:rsidRPr="004A7F1F">
        <w:t>Data indicating potential for long-range transport</w:t>
      </w:r>
      <w:bookmarkEnd w:id="354"/>
      <w:bookmarkEnd w:id="355"/>
      <w:bookmarkEnd w:id="356"/>
      <w:bookmarkEnd w:id="357"/>
      <w:bookmarkEnd w:id="358"/>
      <w:bookmarkEnd w:id="359"/>
      <w:r w:rsidR="007F219F" w:rsidRPr="004A7F1F" w:rsidDel="007F219F">
        <w:t xml:space="preserve"> </w:t>
      </w:r>
    </w:p>
    <w:bookmarkEnd w:id="360"/>
    <w:bookmarkEnd w:id="361"/>
    <w:bookmarkEnd w:id="362"/>
    <w:bookmarkEnd w:id="363"/>
    <w:bookmarkEnd w:id="364"/>
    <w:bookmarkEnd w:id="365"/>
    <w:bookmarkEnd w:id="366"/>
    <w:bookmarkEnd w:id="367"/>
    <w:bookmarkEnd w:id="368"/>
    <w:bookmarkEnd w:id="369"/>
    <w:p w14:paraId="2C611CE4" w14:textId="77777777" w:rsidR="00D121A7" w:rsidRPr="004A7F1F" w:rsidRDefault="00D121A7" w:rsidP="00D121A7">
      <w:pPr>
        <w:pStyle w:val="BodyText"/>
        <w:snapToGrid w:val="0"/>
        <w:jc w:val="both"/>
      </w:pPr>
      <w:r w:rsidRPr="004A7F1F">
        <w:t xml:space="preserve">No data indicating potential for long-range transport are reviewed in the scope of this dossier. </w:t>
      </w:r>
    </w:p>
    <w:p w14:paraId="115C5BE2" w14:textId="77777777" w:rsidR="000322E6" w:rsidRPr="004A7F1F" w:rsidRDefault="000322E6" w:rsidP="00F87EF5">
      <w:pPr>
        <w:pStyle w:val="BodyText"/>
        <w:snapToGrid w:val="0"/>
        <w:jc w:val="both"/>
        <w:rPr>
          <w:i/>
        </w:rPr>
      </w:pPr>
    </w:p>
    <w:p w14:paraId="115C5BE3" w14:textId="77777777" w:rsidR="00B12C39" w:rsidRPr="004A7F1F" w:rsidRDefault="003B1B52" w:rsidP="00C748EF">
      <w:pPr>
        <w:pStyle w:val="Heading2"/>
        <w:keepNext w:val="0"/>
      </w:pPr>
      <w:bookmarkStart w:id="372" w:name="_Toc354499584"/>
      <w:bookmarkStart w:id="373" w:name="_Toc357083659"/>
      <w:bookmarkStart w:id="374" w:name="_Toc357184208"/>
      <w:bookmarkStart w:id="375" w:name="_Toc357184444"/>
      <w:bookmarkStart w:id="376" w:name="_Toc357185246"/>
      <w:bookmarkStart w:id="377" w:name="_Toc357186094"/>
      <w:bookmarkStart w:id="378" w:name="_Toc357186243"/>
      <w:bookmarkStart w:id="379" w:name="_Toc357437529"/>
      <w:bookmarkStart w:id="380" w:name="_Toc357590802"/>
      <w:bookmarkStart w:id="381" w:name="_Toc357692834"/>
      <w:bookmarkStart w:id="382" w:name="_Toc365649663"/>
      <w:bookmarkStart w:id="383" w:name="_Toc365649812"/>
      <w:bookmarkStart w:id="384" w:name="_Toc366489864"/>
      <w:bookmarkStart w:id="385" w:name="_Toc418498569"/>
      <w:bookmarkStart w:id="386" w:name="_Toc418506012"/>
      <w:bookmarkStart w:id="387" w:name="_Toc491868903"/>
      <w:r w:rsidRPr="004A7F1F">
        <w:t xml:space="preserve">3.4 </w:t>
      </w:r>
      <w:r w:rsidR="00B12C39" w:rsidRPr="004A7F1F">
        <w:t>Bioaccumulation</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115C5BEA" w14:textId="77777777" w:rsidR="00B12C39" w:rsidRPr="004A7F1F" w:rsidRDefault="00264345" w:rsidP="00B76614">
      <w:pPr>
        <w:pStyle w:val="Heading3"/>
        <w:tabs>
          <w:tab w:val="clear" w:pos="360"/>
          <w:tab w:val="num" w:pos="284"/>
        </w:tabs>
        <w:ind w:left="284"/>
      </w:pPr>
      <w:bookmarkStart w:id="388" w:name="_Toc341888530"/>
      <w:bookmarkStart w:id="389" w:name="_Toc342400383"/>
      <w:bookmarkStart w:id="390" w:name="_Toc354499585"/>
      <w:bookmarkStart w:id="391" w:name="_Toc357083660"/>
      <w:bookmarkStart w:id="392" w:name="_Toc357184209"/>
      <w:bookmarkStart w:id="393" w:name="_Toc357184445"/>
      <w:bookmarkStart w:id="394" w:name="_Toc357185247"/>
      <w:bookmarkStart w:id="395" w:name="_Toc357186095"/>
      <w:bookmarkStart w:id="396" w:name="_Toc357186244"/>
      <w:bookmarkStart w:id="397" w:name="_Toc357437530"/>
      <w:bookmarkStart w:id="398" w:name="_Toc357590803"/>
      <w:bookmarkStart w:id="399" w:name="_Toc357692835"/>
      <w:bookmarkStart w:id="400" w:name="_Toc365649664"/>
      <w:bookmarkStart w:id="401" w:name="_Toc365649813"/>
      <w:bookmarkStart w:id="402" w:name="_Toc366489865"/>
      <w:bookmarkStart w:id="403" w:name="_Toc418498570"/>
      <w:bookmarkStart w:id="404" w:name="_Toc418506013"/>
      <w:bookmarkStart w:id="405" w:name="_Toc491868904"/>
      <w:r w:rsidRPr="004A7F1F">
        <w:t xml:space="preserve">3.4.1 </w:t>
      </w:r>
      <w:r w:rsidR="00D3264A" w:rsidRPr="004A7F1F">
        <w:t xml:space="preserve">Bioaccumulation in aquatic organisms (pelagic </w:t>
      </w:r>
      <w:r w:rsidR="00B76533" w:rsidRPr="004A7F1F">
        <w:t xml:space="preserve">&amp; </w:t>
      </w:r>
      <w:r w:rsidR="00D3264A" w:rsidRPr="004A7F1F">
        <w:t>sediment organisms)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3FB14C19" w14:textId="795854B4" w:rsidR="005A227D" w:rsidRDefault="002E565B" w:rsidP="00EE622A">
      <w:pPr>
        <w:pStyle w:val="BodyText"/>
        <w:jc w:val="both"/>
      </w:pPr>
      <w:r>
        <w:t xml:space="preserve">For CHR only one experimental BCF study was considered at the Support </w:t>
      </w:r>
      <w:r w:rsidRPr="004A7F1F">
        <w:t>Document for the Identification of CTPHT as SVHC (ECHA, 2009)</w:t>
      </w:r>
      <w:r>
        <w:t xml:space="preserve">. </w:t>
      </w:r>
    </w:p>
    <w:p w14:paraId="0315329D" w14:textId="55F2DF32" w:rsidR="00284D5F" w:rsidRDefault="00AA043C" w:rsidP="00EE622A">
      <w:pPr>
        <w:pStyle w:val="BodyText"/>
        <w:jc w:val="both"/>
      </w:pPr>
      <w:proofErr w:type="spellStart"/>
      <w:r w:rsidRPr="004A7F1F">
        <w:t>Newstedt</w:t>
      </w:r>
      <w:proofErr w:type="spellEnd"/>
      <w:r w:rsidRPr="004A7F1F">
        <w:t xml:space="preserve"> and </w:t>
      </w:r>
      <w:proofErr w:type="spellStart"/>
      <w:r w:rsidRPr="004A7F1F">
        <w:t>Giesy</w:t>
      </w:r>
      <w:proofErr w:type="spellEnd"/>
      <w:r w:rsidRPr="004A7F1F">
        <w:t xml:space="preserve"> (1987) </w:t>
      </w:r>
      <w:r w:rsidR="00E3193B" w:rsidRPr="004A7F1F">
        <w:t xml:space="preserve">studied </w:t>
      </w:r>
      <w:r w:rsidRPr="004A7F1F">
        <w:t>a</w:t>
      </w:r>
      <w:r w:rsidR="00E86283" w:rsidRPr="004A7F1F">
        <w:t>n</w:t>
      </w:r>
      <w:r w:rsidRPr="004A7F1F">
        <w:t xml:space="preserve"> </w:t>
      </w:r>
      <w:r w:rsidR="00E3193B" w:rsidRPr="004A7F1F">
        <w:t xml:space="preserve">experimental </w:t>
      </w:r>
      <w:r w:rsidRPr="004A7F1F">
        <w:t xml:space="preserve">BCF </w:t>
      </w:r>
      <w:r w:rsidR="00E3193B" w:rsidRPr="004A7F1F">
        <w:t xml:space="preserve">value at steady state in a static system and reported a BCF = </w:t>
      </w:r>
      <w:r w:rsidRPr="004A7F1F">
        <w:t>6088</w:t>
      </w:r>
      <w:r w:rsidR="00E3193B" w:rsidRPr="004A7F1F">
        <w:t xml:space="preserve"> for CHR in </w:t>
      </w:r>
      <w:r w:rsidR="00E3193B" w:rsidRPr="004A7F1F">
        <w:rPr>
          <w:i/>
        </w:rPr>
        <w:t>D. magna</w:t>
      </w:r>
      <w:r w:rsidRPr="004A7F1F">
        <w:t xml:space="preserve">. </w:t>
      </w:r>
      <w:r w:rsidR="00E3193B" w:rsidRPr="004A7F1F">
        <w:t xml:space="preserve">In this study the </w:t>
      </w:r>
      <w:proofErr w:type="spellStart"/>
      <w:r w:rsidR="00E3193B" w:rsidRPr="004A7F1F">
        <w:t>bioconcentration</w:t>
      </w:r>
      <w:proofErr w:type="spellEnd"/>
      <w:r w:rsidR="00E3193B" w:rsidRPr="004A7F1F">
        <w:t xml:space="preserve"> factor was determined for </w:t>
      </w:r>
      <w:r w:rsidR="00E64FED" w:rsidRPr="004A7F1F">
        <w:t xml:space="preserve">a </w:t>
      </w:r>
      <w:r w:rsidR="00E3193B" w:rsidRPr="004A7F1F">
        <w:t xml:space="preserve">range of PAHs. </w:t>
      </w:r>
      <w:r w:rsidRPr="004A7F1F">
        <w:t>The study was evaluated in the Support Document for the Identification of CTPHT as SVHC (ECHA, 2009)</w:t>
      </w:r>
      <w:r w:rsidR="006019F1">
        <w:t>.</w:t>
      </w:r>
      <w:r w:rsidR="006019F1" w:rsidRPr="004A7F1F">
        <w:t xml:space="preserve"> </w:t>
      </w:r>
    </w:p>
    <w:p w14:paraId="079F0E99" w14:textId="246C5FFB" w:rsidR="009211D2" w:rsidRDefault="006019F1" w:rsidP="00EE622A">
      <w:pPr>
        <w:pStyle w:val="BodyText"/>
        <w:jc w:val="both"/>
      </w:pPr>
      <w:r>
        <w:t xml:space="preserve">The </w:t>
      </w:r>
      <w:r w:rsidRPr="006019F1">
        <w:t>Octanol-water partitioning coefficient</w:t>
      </w:r>
      <w:r>
        <w:t xml:space="preserve"> is used as indication </w:t>
      </w:r>
      <w:r w:rsidR="00A56CEC">
        <w:t xml:space="preserve">for </w:t>
      </w:r>
      <w:r>
        <w:t xml:space="preserve">B or </w:t>
      </w:r>
      <w:proofErr w:type="spellStart"/>
      <w:r>
        <w:t>vB</w:t>
      </w:r>
      <w:proofErr w:type="spellEnd"/>
      <w:r>
        <w:t xml:space="preserve"> properties. A PAH </w:t>
      </w:r>
      <w:r w:rsidR="00D657A5">
        <w:t>with a</w:t>
      </w:r>
      <w:r>
        <w:t xml:space="preserve"> </w:t>
      </w:r>
      <w:proofErr w:type="spellStart"/>
      <w:r w:rsidR="00646790">
        <w:t>logK</w:t>
      </w:r>
      <w:r w:rsidR="00646790" w:rsidRPr="00DC41FB">
        <w:rPr>
          <w:vertAlign w:val="subscript"/>
        </w:rPr>
        <w:t>O</w:t>
      </w:r>
      <w:r w:rsidR="000A78FC">
        <w:rPr>
          <w:vertAlign w:val="subscript"/>
        </w:rPr>
        <w:t>W</w:t>
      </w:r>
      <w:proofErr w:type="spellEnd"/>
      <w:r w:rsidR="00646790">
        <w:t xml:space="preserve"> in </w:t>
      </w:r>
      <w:r w:rsidR="00A56CEC">
        <w:t>a</w:t>
      </w:r>
      <w:r w:rsidR="00646790">
        <w:t xml:space="preserve"> range </w:t>
      </w:r>
      <w:r w:rsidR="00A56CEC">
        <w:t xml:space="preserve">similar </w:t>
      </w:r>
      <w:r w:rsidR="00646790">
        <w:t>to CHR (</w:t>
      </w:r>
      <w:proofErr w:type="spellStart"/>
      <w:r w:rsidR="00646790">
        <w:t>logK</w:t>
      </w:r>
      <w:r w:rsidR="00646790" w:rsidRPr="00DC41FB">
        <w:rPr>
          <w:vertAlign w:val="subscript"/>
        </w:rPr>
        <w:t>O</w:t>
      </w:r>
      <w:r w:rsidR="000A78FC">
        <w:rPr>
          <w:vertAlign w:val="subscript"/>
        </w:rPr>
        <w:t>W</w:t>
      </w:r>
      <w:proofErr w:type="spellEnd"/>
      <w:r w:rsidR="00646790">
        <w:t xml:space="preserve"> = </w:t>
      </w:r>
      <w:r w:rsidR="00284D5F">
        <w:t>5.73</w:t>
      </w:r>
      <w:r w:rsidR="00646790">
        <w:t>) is Benz[a]anthracene (</w:t>
      </w:r>
      <w:proofErr w:type="spellStart"/>
      <w:r w:rsidR="00646790">
        <w:t>BaA</w:t>
      </w:r>
      <w:proofErr w:type="spellEnd"/>
      <w:r w:rsidR="00646790">
        <w:t xml:space="preserve">, EC: </w:t>
      </w:r>
      <w:r w:rsidR="00284D5F" w:rsidRPr="00284D5F">
        <w:t>200-280-6</w:t>
      </w:r>
      <w:r w:rsidR="00646790">
        <w:t xml:space="preserve">; </w:t>
      </w:r>
      <w:proofErr w:type="spellStart"/>
      <w:r w:rsidR="00646790">
        <w:t>logK</w:t>
      </w:r>
      <w:r w:rsidR="00646790" w:rsidRPr="00DC41FB">
        <w:rPr>
          <w:vertAlign w:val="subscript"/>
        </w:rPr>
        <w:t>O</w:t>
      </w:r>
      <w:r w:rsidR="000A78FC">
        <w:rPr>
          <w:vertAlign w:val="subscript"/>
        </w:rPr>
        <w:t>W</w:t>
      </w:r>
      <w:proofErr w:type="spellEnd"/>
      <w:r w:rsidR="00646790">
        <w:t xml:space="preserve"> = </w:t>
      </w:r>
      <w:r w:rsidR="00284D5F">
        <w:t>5.91</w:t>
      </w:r>
      <w:r w:rsidR="00646790">
        <w:t xml:space="preserve">). </w:t>
      </w:r>
      <w:proofErr w:type="spellStart"/>
      <w:r w:rsidR="0083228C">
        <w:t>BaA</w:t>
      </w:r>
      <w:proofErr w:type="spellEnd"/>
      <w:r w:rsidR="0083228C">
        <w:t xml:space="preserve"> was </w:t>
      </w:r>
      <w:r w:rsidR="00DC53DC">
        <w:t xml:space="preserve">used in experimental studies for BCF more extensively. An overview of BCFs </w:t>
      </w:r>
      <w:r w:rsidR="00710B2D">
        <w:t xml:space="preserve">determined for aquatic organisms </w:t>
      </w:r>
      <w:r w:rsidR="00DC53DC">
        <w:t>is given in ECHA (2009)</w:t>
      </w:r>
      <w:r w:rsidR="00710B2D">
        <w:t xml:space="preserve"> and more detailed in The Netherlands (2008). Briefly, for </w:t>
      </w:r>
      <w:proofErr w:type="spellStart"/>
      <w:r w:rsidR="00710B2D">
        <w:t>BaA</w:t>
      </w:r>
      <w:proofErr w:type="spellEnd"/>
      <w:r w:rsidR="00A56CEC">
        <w:t xml:space="preserve"> the</w:t>
      </w:r>
      <w:r w:rsidR="00710B2D">
        <w:t xml:space="preserve"> following consideration</w:t>
      </w:r>
      <w:r w:rsidR="00D657A5">
        <w:t>s</w:t>
      </w:r>
      <w:r w:rsidR="00710B2D">
        <w:t xml:space="preserve"> on bioaccumulation in aquatic organism have been taken: </w:t>
      </w:r>
      <w:r w:rsidR="00D657A5">
        <w:t>The b</w:t>
      </w:r>
      <w:r w:rsidR="00710B2D" w:rsidRPr="00710B2D">
        <w:t xml:space="preserve">ioaccumulation potential of </w:t>
      </w:r>
      <w:proofErr w:type="spellStart"/>
      <w:r w:rsidR="00710B2D" w:rsidRPr="00710B2D">
        <w:t>BaA</w:t>
      </w:r>
      <w:proofErr w:type="spellEnd"/>
      <w:r w:rsidR="00710B2D" w:rsidRPr="00710B2D">
        <w:t xml:space="preserve"> differs between the organisms due to the organism</w:t>
      </w:r>
      <w:r w:rsidR="00D657A5">
        <w:t>s</w:t>
      </w:r>
      <w:r w:rsidR="00710B2D" w:rsidRPr="00710B2D">
        <w:t xml:space="preserve">´ ability to metabolise PAHs (biotransformation). </w:t>
      </w:r>
      <w:proofErr w:type="spellStart"/>
      <w:r w:rsidR="00710B2D" w:rsidRPr="00710B2D">
        <w:t>BaA</w:t>
      </w:r>
      <w:proofErr w:type="spellEnd"/>
      <w:r w:rsidR="00710B2D" w:rsidRPr="00710B2D">
        <w:t xml:space="preserve"> is transformed in fish, and to some extent also in molluscs, using enzymes belonging to the Cytochrome P450 enzymes (</w:t>
      </w:r>
      <w:proofErr w:type="spellStart"/>
      <w:r w:rsidR="00710B2D" w:rsidRPr="00710B2D">
        <w:t>Cyt</w:t>
      </w:r>
      <w:proofErr w:type="spellEnd"/>
      <w:r w:rsidR="00710B2D" w:rsidRPr="00710B2D">
        <w:t xml:space="preserve"> P450) and other mechanism</w:t>
      </w:r>
      <w:r w:rsidR="00D657A5">
        <w:t>s</w:t>
      </w:r>
      <w:r w:rsidR="00710B2D" w:rsidRPr="00710B2D">
        <w:t xml:space="preserve">. Biotransformation contributes to detoxification of fish and molluscs, but no evidence for transformation processes of PAHs in algae and </w:t>
      </w:r>
      <w:proofErr w:type="spellStart"/>
      <w:r w:rsidR="00710B2D" w:rsidRPr="00710B2D">
        <w:t>oligochaeta</w:t>
      </w:r>
      <w:proofErr w:type="spellEnd"/>
      <w:r w:rsidR="00710B2D" w:rsidRPr="00710B2D">
        <w:t xml:space="preserve"> exist. Bioaccumulation of </w:t>
      </w:r>
      <w:proofErr w:type="spellStart"/>
      <w:r w:rsidR="00710B2D" w:rsidRPr="00710B2D">
        <w:t>BaA</w:t>
      </w:r>
      <w:proofErr w:type="spellEnd"/>
      <w:r w:rsidR="00710B2D" w:rsidRPr="00710B2D">
        <w:t xml:space="preserve"> in those organism</w:t>
      </w:r>
      <w:r w:rsidR="00D657A5">
        <w:t>s</w:t>
      </w:r>
      <w:r w:rsidR="00710B2D" w:rsidRPr="00710B2D">
        <w:t xml:space="preserve"> of low trophic level could contribute to a constant exposure of predators and therefore hamper the integrity of aquatic ecosystems.</w:t>
      </w:r>
      <w:r w:rsidR="00E7589A">
        <w:t xml:space="preserve"> </w:t>
      </w:r>
      <w:r w:rsidR="004E5146">
        <w:t xml:space="preserve">Accordingly, </w:t>
      </w:r>
      <w:proofErr w:type="spellStart"/>
      <w:r w:rsidR="00884BD3">
        <w:t>Freitag</w:t>
      </w:r>
      <w:proofErr w:type="spellEnd"/>
      <w:r w:rsidR="00884BD3">
        <w:t xml:space="preserve"> et al. (1985) reported a </w:t>
      </w:r>
      <w:r w:rsidR="004E5146">
        <w:t xml:space="preserve">BCF value for </w:t>
      </w:r>
      <w:proofErr w:type="spellStart"/>
      <w:r w:rsidR="004E5146">
        <w:t>BaA</w:t>
      </w:r>
      <w:proofErr w:type="spellEnd"/>
      <w:r w:rsidR="004E5146">
        <w:t xml:space="preserve"> in fish (</w:t>
      </w:r>
      <w:r w:rsidR="004E5146" w:rsidRPr="00DC41FB">
        <w:rPr>
          <w:i/>
        </w:rPr>
        <w:t>L</w:t>
      </w:r>
      <w:r w:rsidR="00884BD3" w:rsidRPr="00DC41FB">
        <w:rPr>
          <w:i/>
        </w:rPr>
        <w:t xml:space="preserve">. </w:t>
      </w:r>
      <w:proofErr w:type="spellStart"/>
      <w:r w:rsidR="00884BD3" w:rsidRPr="00DC41FB">
        <w:rPr>
          <w:i/>
        </w:rPr>
        <w:t>melanotus</w:t>
      </w:r>
      <w:proofErr w:type="spellEnd"/>
      <w:r w:rsidR="004E5146">
        <w:t>)</w:t>
      </w:r>
      <w:r w:rsidR="00884BD3">
        <w:t xml:space="preserve"> of 350, while for </w:t>
      </w:r>
      <w:r w:rsidR="00884BD3" w:rsidRPr="00DC41FB">
        <w:rPr>
          <w:i/>
        </w:rPr>
        <w:t>Daphnia magna</w:t>
      </w:r>
      <w:r w:rsidR="00884BD3">
        <w:t xml:space="preserve"> </w:t>
      </w:r>
      <w:proofErr w:type="spellStart"/>
      <w:r w:rsidR="00884BD3">
        <w:t>Newsedt</w:t>
      </w:r>
      <w:proofErr w:type="spellEnd"/>
      <w:r w:rsidR="00884BD3">
        <w:t xml:space="preserve"> &amp; </w:t>
      </w:r>
      <w:proofErr w:type="spellStart"/>
      <w:r w:rsidR="00884BD3">
        <w:t>Giesy</w:t>
      </w:r>
      <w:proofErr w:type="spellEnd"/>
      <w:r w:rsidR="00884BD3">
        <w:t xml:space="preserve"> (1987) reported a BCF of 10,226. </w:t>
      </w:r>
    </w:p>
    <w:p w14:paraId="70C44759" w14:textId="77777777" w:rsidR="006505C5" w:rsidRPr="006505C5" w:rsidRDefault="006505C5" w:rsidP="00EE622A">
      <w:pPr>
        <w:pStyle w:val="BodyText"/>
        <w:jc w:val="both"/>
      </w:pPr>
      <w:r w:rsidRPr="006505C5">
        <w:t xml:space="preserve">It might be likely, that the same mechanism leads to a bioaccumulation of CHR in organisms of lower tropic levels. </w:t>
      </w:r>
    </w:p>
    <w:p w14:paraId="64170584" w14:textId="77777777" w:rsidR="00FD2068" w:rsidRPr="004A7F1F" w:rsidRDefault="00FD2068" w:rsidP="0051175C">
      <w:pPr>
        <w:pStyle w:val="BodyText"/>
        <w:rPr>
          <w:rFonts w:cs="Courier New"/>
          <w:i/>
        </w:rPr>
      </w:pPr>
    </w:p>
    <w:p w14:paraId="115C5BEC" w14:textId="77777777" w:rsidR="00B12C39" w:rsidRPr="004A7F1F" w:rsidRDefault="00264345" w:rsidP="00B76614">
      <w:pPr>
        <w:pStyle w:val="Heading3"/>
        <w:tabs>
          <w:tab w:val="clear" w:pos="360"/>
          <w:tab w:val="num" w:pos="284"/>
        </w:tabs>
        <w:ind w:left="284"/>
      </w:pPr>
      <w:bookmarkStart w:id="406" w:name="_Toc341888531"/>
      <w:bookmarkStart w:id="407" w:name="_Toc342400384"/>
      <w:bookmarkStart w:id="408" w:name="_Toc354499586"/>
      <w:bookmarkStart w:id="409" w:name="_Toc357083661"/>
      <w:bookmarkStart w:id="410" w:name="_Toc357184210"/>
      <w:bookmarkStart w:id="411" w:name="_Toc357184446"/>
      <w:bookmarkStart w:id="412" w:name="_Toc357185248"/>
      <w:bookmarkStart w:id="413" w:name="_Toc357186096"/>
      <w:bookmarkStart w:id="414" w:name="_Toc357186245"/>
      <w:bookmarkStart w:id="415" w:name="_Toc357437531"/>
      <w:bookmarkStart w:id="416" w:name="_Toc357590804"/>
      <w:bookmarkStart w:id="417" w:name="_Toc357692836"/>
      <w:bookmarkStart w:id="418" w:name="_Toc365649665"/>
      <w:bookmarkStart w:id="419" w:name="_Toc365649814"/>
      <w:bookmarkStart w:id="420" w:name="_Toc366489866"/>
      <w:bookmarkStart w:id="421" w:name="_Toc418498571"/>
      <w:bookmarkStart w:id="422" w:name="_Toc418506014"/>
      <w:bookmarkStart w:id="423" w:name="_Toc491868905"/>
      <w:r w:rsidRPr="004A7F1F">
        <w:t xml:space="preserve">3.4.2 </w:t>
      </w:r>
      <w:r w:rsidR="00D3264A" w:rsidRPr="004A7F1F">
        <w:t>Bioaccumulation in terrestrial organisms (soil dwelling organisms, vertebrates)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5295B424" w14:textId="77777777" w:rsidR="00710B2D" w:rsidRDefault="00710B2D" w:rsidP="003B3C62"/>
    <w:p w14:paraId="1E74F557" w14:textId="63F6765C" w:rsidR="00ED24C4" w:rsidRPr="00212DCD" w:rsidRDefault="003218EC" w:rsidP="00EE622A">
      <w:pPr>
        <w:jc w:val="both"/>
        <w:rPr>
          <w:rFonts w:ascii="Courier New" w:hAnsi="Courier New" w:cs="Courier New"/>
        </w:rPr>
      </w:pPr>
      <w:r w:rsidRPr="004A7F1F">
        <w:t>T</w:t>
      </w:r>
      <w:r w:rsidR="008A0605" w:rsidRPr="004A7F1F">
        <w:t>he European Union Risk Assessment Report on CTPH</w:t>
      </w:r>
      <w:r w:rsidR="007C3B9E" w:rsidRPr="004A7F1F">
        <w:t>T</w:t>
      </w:r>
      <w:r w:rsidR="008A0605" w:rsidRPr="004A7F1F">
        <w:t xml:space="preserve"> (</w:t>
      </w:r>
      <w:r w:rsidR="007C3B9E" w:rsidRPr="004A7F1F">
        <w:t>EC</w:t>
      </w:r>
      <w:r w:rsidR="008A0605" w:rsidRPr="004A7F1F">
        <w:t>, 2008)</w:t>
      </w:r>
      <w:r w:rsidRPr="004A7F1F">
        <w:t xml:space="preserve"> reported </w:t>
      </w:r>
      <w:r w:rsidR="000805E3" w:rsidRPr="004A7F1F">
        <w:t xml:space="preserve">a </w:t>
      </w:r>
      <w:r w:rsidR="00710B2D">
        <w:t>QSAR estimated</w:t>
      </w:r>
      <w:r w:rsidR="00710B2D" w:rsidRPr="004A7F1F">
        <w:t xml:space="preserve"> </w:t>
      </w:r>
      <w:r w:rsidR="000805E3" w:rsidRPr="004A7F1F">
        <w:t xml:space="preserve">BCF value </w:t>
      </w:r>
      <w:r w:rsidRPr="004A7F1F">
        <w:t xml:space="preserve">for CHR </w:t>
      </w:r>
      <w:r w:rsidR="00B37A96" w:rsidRPr="00CB4EB5">
        <w:t xml:space="preserve">in </w:t>
      </w:r>
      <w:proofErr w:type="spellStart"/>
      <w:r w:rsidR="00B37A96" w:rsidRPr="003E39C1">
        <w:rPr>
          <w:i/>
        </w:rPr>
        <w:t>Eisenia</w:t>
      </w:r>
      <w:proofErr w:type="spellEnd"/>
      <w:r w:rsidR="00B37A96" w:rsidRPr="003E39C1">
        <w:rPr>
          <w:i/>
        </w:rPr>
        <w:t xml:space="preserve"> </w:t>
      </w:r>
      <w:proofErr w:type="spellStart"/>
      <w:r w:rsidR="00B37A96" w:rsidRPr="003E39C1">
        <w:rPr>
          <w:i/>
        </w:rPr>
        <w:t>andrei</w:t>
      </w:r>
      <w:proofErr w:type="spellEnd"/>
      <w:r w:rsidR="00B37A96" w:rsidRPr="003E39C1">
        <w:t xml:space="preserve"> of</w:t>
      </w:r>
      <w:r w:rsidRPr="00D95DA0">
        <w:t xml:space="preserve"> </w:t>
      </w:r>
      <w:proofErr w:type="spellStart"/>
      <w:r w:rsidRPr="00D95DA0">
        <w:t>BCF</w:t>
      </w:r>
      <w:r w:rsidRPr="00980742">
        <w:rPr>
          <w:vertAlign w:val="subscript"/>
        </w:rPr>
        <w:t>earthworm</w:t>
      </w:r>
      <w:proofErr w:type="spellEnd"/>
      <w:r w:rsidRPr="00980742">
        <w:t>=7800</w:t>
      </w:r>
      <w:r w:rsidR="00B37A96" w:rsidRPr="00980742">
        <w:t xml:space="preserve"> and this value is considered to represent a reasonable worst case</w:t>
      </w:r>
      <w:r w:rsidRPr="00212DCD">
        <w:t xml:space="preserve">. </w:t>
      </w:r>
    </w:p>
    <w:p w14:paraId="115C5BED" w14:textId="7DF7AFFF" w:rsidR="00D3264A" w:rsidRPr="006D360C" w:rsidRDefault="00D3264A" w:rsidP="003B3C62">
      <w:pPr>
        <w:pStyle w:val="Heading3"/>
        <w:numPr>
          <w:ilvl w:val="0"/>
          <w:numId w:val="0"/>
        </w:numPr>
        <w:rPr>
          <w:b w:val="0"/>
          <w:sz w:val="20"/>
          <w:szCs w:val="20"/>
        </w:rPr>
      </w:pPr>
    </w:p>
    <w:p w14:paraId="115C5BEE" w14:textId="77777777" w:rsidR="00160086" w:rsidRPr="006D21A3" w:rsidRDefault="00264345" w:rsidP="00264345">
      <w:pPr>
        <w:pStyle w:val="Heading3"/>
        <w:tabs>
          <w:tab w:val="clear" w:pos="360"/>
          <w:tab w:val="num" w:pos="284"/>
        </w:tabs>
      </w:pPr>
      <w:bookmarkStart w:id="424" w:name="_Toc365649666"/>
      <w:bookmarkStart w:id="425" w:name="_Toc365649815"/>
      <w:bookmarkStart w:id="426" w:name="_Toc366489867"/>
      <w:bookmarkStart w:id="427" w:name="_Toc418498572"/>
      <w:bookmarkStart w:id="428" w:name="_Toc418506015"/>
      <w:bookmarkStart w:id="429" w:name="_Toc491868906"/>
      <w:bookmarkStart w:id="430" w:name="_Toc341888532"/>
      <w:bookmarkStart w:id="431" w:name="_Toc342400385"/>
      <w:bookmarkStart w:id="432" w:name="_Toc354499587"/>
      <w:bookmarkStart w:id="433" w:name="_Toc357083662"/>
      <w:bookmarkStart w:id="434" w:name="_Toc357184211"/>
      <w:bookmarkStart w:id="435" w:name="_Toc357184447"/>
      <w:bookmarkStart w:id="436" w:name="_Toc357185249"/>
      <w:bookmarkStart w:id="437" w:name="_Toc357186097"/>
      <w:bookmarkStart w:id="438" w:name="_Toc357186246"/>
      <w:bookmarkStart w:id="439" w:name="_Toc357437532"/>
      <w:bookmarkStart w:id="440" w:name="_Toc357590805"/>
      <w:bookmarkStart w:id="441" w:name="_Toc357692837"/>
      <w:r w:rsidRPr="006D360C">
        <w:t xml:space="preserve">3.4.3 </w:t>
      </w:r>
      <w:r w:rsidR="00160086" w:rsidRPr="006D21A3">
        <w:t>Field data</w:t>
      </w:r>
      <w:bookmarkEnd w:id="424"/>
      <w:bookmarkEnd w:id="425"/>
      <w:bookmarkEnd w:id="426"/>
      <w:bookmarkEnd w:id="427"/>
      <w:bookmarkEnd w:id="428"/>
      <w:bookmarkEnd w:id="429"/>
    </w:p>
    <w:p w14:paraId="115C5BEF" w14:textId="5973AABA" w:rsidR="00160086" w:rsidRPr="004A7F1F" w:rsidRDefault="0083228C" w:rsidP="003B3C62">
      <w:r>
        <w:t xml:space="preserve">Field data have not been assessed for the assessment of bioaccumulation of this dossier. </w:t>
      </w:r>
    </w:p>
    <w:p w14:paraId="554C0C5B" w14:textId="77777777" w:rsidR="0086312B" w:rsidRPr="00CB4EB5" w:rsidRDefault="0086312B" w:rsidP="003B3C62">
      <w:pPr>
        <w:pStyle w:val="BodyText"/>
      </w:pPr>
    </w:p>
    <w:p w14:paraId="115C5BF0" w14:textId="1AB7EF83" w:rsidR="00B12C39" w:rsidRPr="00980742" w:rsidRDefault="00264345" w:rsidP="00264345">
      <w:pPr>
        <w:pStyle w:val="Heading3"/>
        <w:tabs>
          <w:tab w:val="clear" w:pos="360"/>
          <w:tab w:val="num" w:pos="284"/>
        </w:tabs>
      </w:pPr>
      <w:bookmarkStart w:id="442" w:name="_Toc365649667"/>
      <w:bookmarkStart w:id="443" w:name="_Toc365649816"/>
      <w:bookmarkStart w:id="444" w:name="_Toc366489868"/>
      <w:bookmarkStart w:id="445" w:name="_Toc418498573"/>
      <w:bookmarkStart w:id="446" w:name="_Toc418506016"/>
      <w:bookmarkStart w:id="447" w:name="_Toc491868907"/>
      <w:r w:rsidRPr="003E39C1">
        <w:lastRenderedPageBreak/>
        <w:t xml:space="preserve">3.4.4 </w:t>
      </w:r>
      <w:r w:rsidR="00B12C39" w:rsidRPr="003E39C1">
        <w:t>Summary and discussion of bioac</w:t>
      </w:r>
      <w:r w:rsidR="00B12C39" w:rsidRPr="00D95DA0">
        <w:t>cumulation</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186A16F4" w14:textId="5C842F10" w:rsidR="00810C14" w:rsidRDefault="002C6C32" w:rsidP="00EE622A">
      <w:pPr>
        <w:pStyle w:val="BodyText"/>
        <w:jc w:val="both"/>
      </w:pPr>
      <w:r w:rsidRPr="00212DCD">
        <w:t>For Daphnia and earthworm experimental dat</w:t>
      </w:r>
      <w:r w:rsidR="00DD7720" w:rsidRPr="00212DCD">
        <w:t>a</w:t>
      </w:r>
      <w:r w:rsidRPr="00212DCD">
        <w:t xml:space="preserve"> for </w:t>
      </w:r>
      <w:r w:rsidR="002C12A7" w:rsidRPr="006D360C">
        <w:t>CHR</w:t>
      </w:r>
      <w:r w:rsidRPr="006D360C">
        <w:t xml:space="preserve"> indi</w:t>
      </w:r>
      <w:r w:rsidRPr="006D21A3">
        <w:t xml:space="preserve">cate BCF values above 5000. </w:t>
      </w:r>
      <w:r w:rsidR="00810C14" w:rsidRPr="005B3405">
        <w:t xml:space="preserve">Thus, it is concluded that </w:t>
      </w:r>
      <w:r w:rsidR="002C12A7" w:rsidRPr="005B3405">
        <w:t>CHR</w:t>
      </w:r>
      <w:r w:rsidR="00810C14" w:rsidRPr="004A7F1F">
        <w:t xml:space="preserve"> is a</w:t>
      </w:r>
      <w:r w:rsidR="00DD7720" w:rsidRPr="004A7F1F">
        <w:t xml:space="preserve"> </w:t>
      </w:r>
      <w:proofErr w:type="spellStart"/>
      <w:r w:rsidR="00C840F4" w:rsidRPr="004A7F1F">
        <w:t>bioaccumulative</w:t>
      </w:r>
      <w:proofErr w:type="spellEnd"/>
      <w:r w:rsidR="00C840F4" w:rsidRPr="004A7F1F">
        <w:t xml:space="preserve"> and</w:t>
      </w:r>
      <w:r w:rsidR="00810C14" w:rsidRPr="004A7F1F">
        <w:t xml:space="preserve"> </w:t>
      </w:r>
      <w:r w:rsidRPr="004A7F1F">
        <w:t xml:space="preserve">very </w:t>
      </w:r>
      <w:proofErr w:type="spellStart"/>
      <w:r w:rsidR="00810C14" w:rsidRPr="004A7F1F">
        <w:t>bioaccumulative</w:t>
      </w:r>
      <w:proofErr w:type="spellEnd"/>
      <w:r w:rsidR="00810C14" w:rsidRPr="004A7F1F">
        <w:t xml:space="preserve"> substance.</w:t>
      </w:r>
    </w:p>
    <w:p w14:paraId="3F8994AB" w14:textId="669E25CC" w:rsidR="00284D5F" w:rsidRPr="004A7F1F" w:rsidRDefault="00E7589A" w:rsidP="00EE622A">
      <w:pPr>
        <w:pStyle w:val="BodyText"/>
        <w:jc w:val="both"/>
      </w:pPr>
      <w:r>
        <w:t xml:space="preserve">As </w:t>
      </w:r>
      <w:r w:rsidR="009E0CFA">
        <w:t xml:space="preserve">for </w:t>
      </w:r>
      <w:proofErr w:type="spellStart"/>
      <w:r w:rsidR="009E0CFA">
        <w:t>BaA</w:t>
      </w:r>
      <w:proofErr w:type="spellEnd"/>
      <w:r w:rsidR="009E0CFA">
        <w:t xml:space="preserve"> it might be likely that CHR is </w:t>
      </w:r>
      <w:r w:rsidR="009E0CFA" w:rsidRPr="00710B2D">
        <w:t>transformed in fish, and to some extent also in molluscs, using enzymes belonging to the Cytochrome P450 enzymes (</w:t>
      </w:r>
      <w:proofErr w:type="spellStart"/>
      <w:r w:rsidR="009E0CFA" w:rsidRPr="00710B2D">
        <w:t>Cyt</w:t>
      </w:r>
      <w:proofErr w:type="spellEnd"/>
      <w:r w:rsidR="009E0CFA" w:rsidRPr="00710B2D">
        <w:t xml:space="preserve"> P450) and other mechanism</w:t>
      </w:r>
      <w:r w:rsidR="00D657A5">
        <w:t>s</w:t>
      </w:r>
      <w:r w:rsidR="009E0CFA" w:rsidRPr="00710B2D">
        <w:t xml:space="preserve">. Biotransformation contributes to detoxification of fish and molluscs, but no evidence for transformation processes of PAHs in algae and </w:t>
      </w:r>
      <w:proofErr w:type="spellStart"/>
      <w:r w:rsidR="009E0CFA" w:rsidRPr="00710B2D">
        <w:t>oligochaeta</w:t>
      </w:r>
      <w:proofErr w:type="spellEnd"/>
      <w:r w:rsidR="009E0CFA" w:rsidRPr="00710B2D">
        <w:t xml:space="preserve"> exist. Bioaccumulation of </w:t>
      </w:r>
      <w:proofErr w:type="spellStart"/>
      <w:r w:rsidR="009E0CFA" w:rsidRPr="00710B2D">
        <w:t>BaA</w:t>
      </w:r>
      <w:proofErr w:type="spellEnd"/>
      <w:r w:rsidR="009E0CFA" w:rsidRPr="00710B2D">
        <w:t xml:space="preserve"> in those organism</w:t>
      </w:r>
      <w:r w:rsidR="00D657A5">
        <w:t>s</w:t>
      </w:r>
      <w:r w:rsidR="009E0CFA" w:rsidRPr="00710B2D">
        <w:t xml:space="preserve"> of low trophic level could contribute to a constant exposure of predators and therefore hamper the integrity of aquatic ecosystems.</w:t>
      </w:r>
    </w:p>
    <w:p w14:paraId="1210FF5A" w14:textId="4AF91018" w:rsidR="00810C14" w:rsidRDefault="00810C14" w:rsidP="00EE622A">
      <w:pPr>
        <w:pStyle w:val="BodyText"/>
        <w:jc w:val="both"/>
      </w:pPr>
      <w:r w:rsidRPr="004A7F1F">
        <w:t>This conclusion was already drawn in the Support Document for identification of CTPHT as SVHC (ECHA, 2009).</w:t>
      </w:r>
    </w:p>
    <w:p w14:paraId="249430D2" w14:textId="77777777" w:rsidR="00EE622A" w:rsidRDefault="00EE622A" w:rsidP="00EE622A">
      <w:pPr>
        <w:pStyle w:val="BodyText"/>
        <w:jc w:val="both"/>
      </w:pPr>
    </w:p>
    <w:p w14:paraId="39509DFE" w14:textId="77777777" w:rsidR="00EE622A" w:rsidRPr="004A7F1F" w:rsidRDefault="00EE622A" w:rsidP="00EE622A">
      <w:pPr>
        <w:pStyle w:val="BodyText"/>
        <w:jc w:val="both"/>
      </w:pPr>
    </w:p>
    <w:p w14:paraId="115C5BF2" w14:textId="50CEB21F" w:rsidR="00B12C39" w:rsidRPr="004A7F1F" w:rsidRDefault="00B12C39" w:rsidP="00B12C39">
      <w:pPr>
        <w:pStyle w:val="Heading1"/>
      </w:pPr>
      <w:bookmarkStart w:id="448" w:name="_Toc341888534"/>
      <w:bookmarkStart w:id="449" w:name="_Toc342400387"/>
      <w:bookmarkStart w:id="450" w:name="_Toc354499589"/>
      <w:bookmarkStart w:id="451" w:name="_Toc357083664"/>
      <w:bookmarkStart w:id="452" w:name="_Toc357184213"/>
      <w:bookmarkStart w:id="453" w:name="_Toc357184449"/>
      <w:bookmarkStart w:id="454" w:name="_Toc357185251"/>
      <w:bookmarkStart w:id="455" w:name="_Toc357186099"/>
      <w:bookmarkStart w:id="456" w:name="_Toc357186248"/>
      <w:bookmarkStart w:id="457" w:name="_Toc357437534"/>
      <w:bookmarkStart w:id="458" w:name="_Toc357590807"/>
      <w:bookmarkStart w:id="459" w:name="_Toc357692839"/>
      <w:bookmarkStart w:id="460" w:name="_Toc365649668"/>
      <w:bookmarkStart w:id="461" w:name="_Toc365649817"/>
      <w:bookmarkStart w:id="462" w:name="_Toc366489869"/>
      <w:bookmarkStart w:id="463" w:name="_Toc418498574"/>
      <w:bookmarkStart w:id="464" w:name="_Toc418506017"/>
      <w:bookmarkStart w:id="465" w:name="_Toc491868908"/>
      <w:r w:rsidRPr="004A7F1F">
        <w:t>Human health hazard assessment</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14:paraId="115C5BF5" w14:textId="1C8B3306" w:rsidR="00295E9B" w:rsidRPr="004A7F1F" w:rsidRDefault="009804BC" w:rsidP="00295E9B">
      <w:pPr>
        <w:pStyle w:val="NormalItalic"/>
        <w:rPr>
          <w:i w:val="0"/>
        </w:rPr>
      </w:pPr>
      <w:r w:rsidRPr="004A7F1F">
        <w:rPr>
          <w:i w:val="0"/>
        </w:rPr>
        <w:t xml:space="preserve">Information on hazard to human health </w:t>
      </w:r>
      <w:r w:rsidR="00295E9B" w:rsidRPr="004A7F1F">
        <w:rPr>
          <w:i w:val="0"/>
        </w:rPr>
        <w:t xml:space="preserve"> relevant for the identification of the substance as SVHC in accordance with Article 57</w:t>
      </w:r>
      <w:r w:rsidR="00306E7A" w:rsidRPr="004A7F1F">
        <w:rPr>
          <w:i w:val="0"/>
        </w:rPr>
        <w:t xml:space="preserve"> points </w:t>
      </w:r>
      <w:r w:rsidR="003D36EB" w:rsidRPr="004A7F1F">
        <w:rPr>
          <w:i w:val="0"/>
        </w:rPr>
        <w:t xml:space="preserve">(a) to </w:t>
      </w:r>
      <w:r w:rsidR="009024CD" w:rsidRPr="004A7F1F">
        <w:rPr>
          <w:i w:val="0"/>
        </w:rPr>
        <w:t xml:space="preserve">(c) </w:t>
      </w:r>
      <w:r w:rsidRPr="004A7F1F">
        <w:rPr>
          <w:i w:val="0"/>
        </w:rPr>
        <w:t xml:space="preserve"> of the </w:t>
      </w:r>
      <w:r w:rsidR="003D36EB" w:rsidRPr="004A7F1F">
        <w:rPr>
          <w:i w:val="0"/>
        </w:rPr>
        <w:t xml:space="preserve"> </w:t>
      </w:r>
      <w:r w:rsidR="00306E7A" w:rsidRPr="004A7F1F">
        <w:rPr>
          <w:i w:val="0"/>
        </w:rPr>
        <w:t>REACH</w:t>
      </w:r>
      <w:r w:rsidR="001F07E5" w:rsidRPr="004A7F1F">
        <w:rPr>
          <w:i w:val="0"/>
        </w:rPr>
        <w:t xml:space="preserve"> </w:t>
      </w:r>
      <w:r w:rsidRPr="004A7F1F">
        <w:rPr>
          <w:i w:val="0"/>
        </w:rPr>
        <w:t xml:space="preserve">Regulation is provided in Section 2 of this report </w:t>
      </w:r>
      <w:r w:rsidR="001F07E5" w:rsidRPr="004A7F1F">
        <w:rPr>
          <w:i w:val="0"/>
        </w:rPr>
        <w:t xml:space="preserve">(see harmonised classification and labelling </w:t>
      </w:r>
      <w:r w:rsidR="000868E9" w:rsidRPr="004A7F1F">
        <w:rPr>
          <w:i w:val="0"/>
        </w:rPr>
        <w:t xml:space="preserve">of CHR </w:t>
      </w:r>
      <w:r w:rsidR="001F07E5" w:rsidRPr="004A7F1F">
        <w:rPr>
          <w:i w:val="0"/>
        </w:rPr>
        <w:t xml:space="preserve">in Section 2 as </w:t>
      </w:r>
      <w:proofErr w:type="spellStart"/>
      <w:r w:rsidR="001F07E5" w:rsidRPr="004A7F1F">
        <w:rPr>
          <w:i w:val="0"/>
        </w:rPr>
        <w:t>Carc</w:t>
      </w:r>
      <w:proofErr w:type="spellEnd"/>
      <w:r w:rsidR="001F07E5" w:rsidRPr="004A7F1F">
        <w:rPr>
          <w:i w:val="0"/>
        </w:rPr>
        <w:t>. 1B, H350)</w:t>
      </w:r>
      <w:r w:rsidR="00295E9B" w:rsidRPr="004A7F1F">
        <w:rPr>
          <w:i w:val="0"/>
        </w:rPr>
        <w:t>.</w:t>
      </w:r>
    </w:p>
    <w:p w14:paraId="115C5BFA" w14:textId="3EB50A99" w:rsidR="009E0108" w:rsidRPr="004A7F1F" w:rsidRDefault="009E0108" w:rsidP="00295E9B">
      <w:pPr>
        <w:pStyle w:val="NormalItalic"/>
        <w:rPr>
          <w:b/>
        </w:rPr>
      </w:pPr>
      <w:r w:rsidRPr="004A7F1F">
        <w:rPr>
          <w:b/>
        </w:rPr>
        <w:t>PBT considerations</w:t>
      </w:r>
      <w:r w:rsidR="005A762F" w:rsidRPr="004A7F1F">
        <w:rPr>
          <w:b/>
        </w:rPr>
        <w:t xml:space="preserve"> regarding human health hazard assessment</w:t>
      </w:r>
      <w:r w:rsidRPr="004A7F1F">
        <w:rPr>
          <w:b/>
        </w:rPr>
        <w:t>:</w:t>
      </w:r>
    </w:p>
    <w:p w14:paraId="298CAAB2" w14:textId="147D48F5" w:rsidR="000868E9" w:rsidRPr="004A7F1F" w:rsidRDefault="000868E9" w:rsidP="00295E9B">
      <w:pPr>
        <w:pStyle w:val="NormalItalic"/>
        <w:rPr>
          <w:b/>
          <w:i w:val="0"/>
        </w:rPr>
      </w:pPr>
      <w:r w:rsidRPr="004A7F1F">
        <w:rPr>
          <w:i w:val="0"/>
        </w:rPr>
        <w:t>CHR is classified in the hazard class carcinogenicity category 1B according to EU Regulation 1272/2008. Thus, the T criterion of REACH Annex XIII 1.1.3 b) is fulfilled.</w:t>
      </w:r>
    </w:p>
    <w:p w14:paraId="115C5BFF" w14:textId="77777777" w:rsidR="00960955" w:rsidRPr="004A7F1F" w:rsidRDefault="00960955" w:rsidP="00295E9B">
      <w:pPr>
        <w:pStyle w:val="BodyText"/>
        <w:jc w:val="both"/>
      </w:pPr>
    </w:p>
    <w:p w14:paraId="115C5C60" w14:textId="77777777" w:rsidR="00B12C39" w:rsidRPr="004A7F1F" w:rsidRDefault="00B12C39" w:rsidP="00E45915">
      <w:pPr>
        <w:pStyle w:val="Heading1"/>
      </w:pPr>
      <w:r w:rsidRPr="004A7F1F">
        <w:br w:type="page"/>
      </w:r>
      <w:bookmarkStart w:id="466" w:name="_Toc341888586"/>
      <w:bookmarkStart w:id="467" w:name="_Toc342400447"/>
      <w:bookmarkStart w:id="468" w:name="_Toc354499624"/>
      <w:bookmarkStart w:id="469" w:name="_Toc357083699"/>
      <w:bookmarkStart w:id="470" w:name="_Toc357184248"/>
      <w:bookmarkStart w:id="471" w:name="_Toc357184484"/>
      <w:bookmarkStart w:id="472" w:name="_Toc357185286"/>
      <w:bookmarkStart w:id="473" w:name="_Toc357186134"/>
      <w:bookmarkStart w:id="474" w:name="_Toc357186283"/>
      <w:bookmarkStart w:id="475" w:name="_Toc357437569"/>
      <w:bookmarkStart w:id="476" w:name="_Toc357590842"/>
      <w:bookmarkStart w:id="477" w:name="_Toc357692874"/>
      <w:bookmarkStart w:id="478" w:name="_Toc365649702"/>
      <w:bookmarkStart w:id="479" w:name="_Toc365649851"/>
      <w:bookmarkStart w:id="480" w:name="_Toc366489903"/>
      <w:bookmarkStart w:id="481" w:name="_Toc418506055"/>
      <w:bookmarkStart w:id="482" w:name="_Toc491868909"/>
      <w:r w:rsidRPr="004A7F1F">
        <w:rPr>
          <w:rStyle w:val="Heading1Char"/>
          <w:b/>
        </w:rPr>
        <w:lastRenderedPageBreak/>
        <w:t>Environmental hazard assessment</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115C5C6D" w14:textId="77777777" w:rsidR="00B12C39" w:rsidRPr="004A7F1F" w:rsidRDefault="009454D6" w:rsidP="00100AB6">
      <w:pPr>
        <w:pStyle w:val="Heading2"/>
        <w:keepLines w:val="0"/>
        <w:ind w:left="567" w:hanging="567"/>
      </w:pPr>
      <w:bookmarkStart w:id="483" w:name="_Toc341888587"/>
      <w:bookmarkStart w:id="484" w:name="_Toc342400448"/>
      <w:bookmarkStart w:id="485" w:name="_Toc354499625"/>
      <w:bookmarkStart w:id="486" w:name="_Toc357083700"/>
      <w:bookmarkStart w:id="487" w:name="_Toc357184249"/>
      <w:bookmarkStart w:id="488" w:name="_Toc357184485"/>
      <w:bookmarkStart w:id="489" w:name="_Toc357185287"/>
      <w:bookmarkStart w:id="490" w:name="_Toc357186135"/>
      <w:bookmarkStart w:id="491" w:name="_Toc357186284"/>
      <w:bookmarkStart w:id="492" w:name="_Toc357437570"/>
      <w:bookmarkStart w:id="493" w:name="_Toc357590843"/>
      <w:bookmarkStart w:id="494" w:name="_Toc357692875"/>
      <w:bookmarkStart w:id="495" w:name="_Toc365649703"/>
      <w:bookmarkStart w:id="496" w:name="_Toc365649852"/>
      <w:bookmarkStart w:id="497" w:name="_Toc366489904"/>
      <w:bookmarkStart w:id="498" w:name="_Toc418498608"/>
      <w:bookmarkStart w:id="499" w:name="_Toc418506056"/>
      <w:bookmarkStart w:id="500" w:name="_Toc491868910"/>
      <w:r w:rsidRPr="004A7F1F">
        <w:t xml:space="preserve">5.1 </w:t>
      </w:r>
      <w:r w:rsidR="00B12C39" w:rsidRPr="004A7F1F">
        <w:t>Aquatic compartment (including sediment)</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14:paraId="42D51042" w14:textId="23312933" w:rsidR="00EE0CF7" w:rsidRPr="004A7F1F" w:rsidRDefault="00EE0CF7" w:rsidP="00EE622A">
      <w:pPr>
        <w:jc w:val="both"/>
        <w:rPr>
          <w:rFonts w:cs="Courier New"/>
        </w:rPr>
      </w:pPr>
      <w:r w:rsidRPr="004A7F1F">
        <w:rPr>
          <w:rFonts w:cs="Courier New"/>
        </w:rPr>
        <w:t>The Support Document for the identification of CTPHT as SVHC summari</w:t>
      </w:r>
      <w:r w:rsidR="00F30D5B">
        <w:rPr>
          <w:rFonts w:cs="Courier New"/>
        </w:rPr>
        <w:t>s</w:t>
      </w:r>
      <w:r w:rsidRPr="004A7F1F">
        <w:rPr>
          <w:rFonts w:cs="Courier New"/>
        </w:rPr>
        <w:t>es the following on environmental hazard assessment for the aquatic compartment.</w:t>
      </w:r>
    </w:p>
    <w:p w14:paraId="2C96CB5E" w14:textId="77777777" w:rsidR="00E64FED" w:rsidRPr="004A7F1F" w:rsidRDefault="00E64FED" w:rsidP="00551ADB"/>
    <w:p w14:paraId="0DD0C0A9" w14:textId="77777777" w:rsidR="00551ADB" w:rsidRPr="004A7F1F" w:rsidRDefault="00551ADB" w:rsidP="00551ADB">
      <w:pPr>
        <w:rPr>
          <w:i/>
        </w:rPr>
      </w:pPr>
      <w:r w:rsidRPr="004A7F1F">
        <w:rPr>
          <w:i/>
        </w:rPr>
        <w:t xml:space="preserve">PAHs can be toxic via different modes of action, such as non-polar narcosis and </w:t>
      </w:r>
      <w:proofErr w:type="spellStart"/>
      <w:r w:rsidRPr="004A7F1F">
        <w:rPr>
          <w:i/>
        </w:rPr>
        <w:t>phototoxicity</w:t>
      </w:r>
      <w:proofErr w:type="spellEnd"/>
      <w:r w:rsidRPr="004A7F1F">
        <w:rPr>
          <w:i/>
        </w:rPr>
        <w:t xml:space="preserve">. </w:t>
      </w:r>
      <w:proofErr w:type="spellStart"/>
      <w:r w:rsidRPr="004A7F1F">
        <w:rPr>
          <w:i/>
        </w:rPr>
        <w:t>Phototoxicity</w:t>
      </w:r>
      <w:proofErr w:type="spellEnd"/>
      <w:r w:rsidRPr="004A7F1F">
        <w:rPr>
          <w:i/>
        </w:rPr>
        <w:t xml:space="preserve"> is caused by the ability of PAHs to absorb UVA radiation, UVB radiation, and in some instances, visible light. It may occur as the result of the production of singlet oxygen, which is highly damaging to biological material, or as result of the formation of new, more toxic compounds from the </w:t>
      </w:r>
      <w:proofErr w:type="spellStart"/>
      <w:r w:rsidRPr="004A7F1F">
        <w:rPr>
          <w:i/>
        </w:rPr>
        <w:t>photomodification</w:t>
      </w:r>
      <w:proofErr w:type="spellEnd"/>
      <w:r w:rsidRPr="004A7F1F">
        <w:rPr>
          <w:i/>
        </w:rPr>
        <w:t xml:space="preserve"> (usually oxidation) of PAHs (</w:t>
      </w:r>
      <w:proofErr w:type="spellStart"/>
      <w:r w:rsidRPr="004A7F1F">
        <w:rPr>
          <w:i/>
        </w:rPr>
        <w:t>Lampi</w:t>
      </w:r>
      <w:proofErr w:type="spellEnd"/>
      <w:r w:rsidRPr="004A7F1F">
        <w:rPr>
          <w:i/>
        </w:rPr>
        <w:t xml:space="preserve"> et al., 2006). Phototoxic effects can be observed after a short period of exposure, which explains why for PAHs like anthracene, </w:t>
      </w:r>
      <w:proofErr w:type="spellStart"/>
      <w:r w:rsidRPr="004A7F1F">
        <w:rPr>
          <w:i/>
        </w:rPr>
        <w:t>fluoranthene</w:t>
      </w:r>
      <w:proofErr w:type="spellEnd"/>
      <w:r w:rsidRPr="004A7F1F">
        <w:rPr>
          <w:i/>
        </w:rPr>
        <w:t xml:space="preserve"> and pyrene, where </w:t>
      </w:r>
      <w:proofErr w:type="spellStart"/>
      <w:r w:rsidRPr="004A7F1F">
        <w:rPr>
          <w:i/>
        </w:rPr>
        <w:t>phototoxicity</w:t>
      </w:r>
      <w:proofErr w:type="spellEnd"/>
      <w:r w:rsidRPr="004A7F1F">
        <w:rPr>
          <w:i/>
        </w:rPr>
        <w:t xml:space="preserve"> is most evident, the acute toxicity values under simulated solar radiation may be lower than the chronic toxicity values determined under less harsh radiation.</w:t>
      </w:r>
    </w:p>
    <w:p w14:paraId="75106392" w14:textId="705974B2" w:rsidR="00551ADB" w:rsidRPr="004A7F1F" w:rsidRDefault="00551ADB" w:rsidP="003B3C62">
      <w:pPr>
        <w:rPr>
          <w:i/>
        </w:rPr>
      </w:pPr>
      <w:r w:rsidRPr="004A7F1F">
        <w:rPr>
          <w:i/>
        </w:rPr>
        <w:t xml:space="preserve">The </w:t>
      </w:r>
      <w:proofErr w:type="spellStart"/>
      <w:r w:rsidRPr="004A7F1F">
        <w:rPr>
          <w:i/>
        </w:rPr>
        <w:t>phototoxicity</w:t>
      </w:r>
      <w:proofErr w:type="spellEnd"/>
      <w:r w:rsidRPr="004A7F1F">
        <w:rPr>
          <w:i/>
        </w:rPr>
        <w:t xml:space="preserve"> of PAHs is relevant where the PAHs are exposed to light and UV radiation, and considered to be most important for upper layers of aquatic and terrestrial environments. Although UV penetration depths may vary among PAH-contaminated sites, it is not unlikely that significant portions of the aquatic community may be exposed to UV levels sufficient to induce </w:t>
      </w:r>
      <w:proofErr w:type="spellStart"/>
      <w:r w:rsidRPr="004A7F1F">
        <w:rPr>
          <w:i/>
        </w:rPr>
        <w:t>phototoxicity</w:t>
      </w:r>
      <w:proofErr w:type="spellEnd"/>
      <w:r w:rsidRPr="004A7F1F">
        <w:rPr>
          <w:i/>
        </w:rPr>
        <w:t xml:space="preserve">, as UV levels occurring under normal sun light conditions have been shown to elicit these effects. There is growing evidence which suggests that phototoxic PAHs may be degrading aquatic habitats, particularly those in highly contaminated areas with shallow or clear water. Photo-induced chronic effects have been reported for anthracene at UV intensities occurring at depths of 10-12 m in Lake Michigan (Holst &amp; </w:t>
      </w:r>
      <w:proofErr w:type="spellStart"/>
      <w:r w:rsidRPr="004A7F1F">
        <w:rPr>
          <w:i/>
        </w:rPr>
        <w:t>Giesy</w:t>
      </w:r>
      <w:proofErr w:type="spellEnd"/>
      <w:r w:rsidRPr="004A7F1F">
        <w:rPr>
          <w:i/>
        </w:rPr>
        <w:t xml:space="preserve">, 1989). </w:t>
      </w:r>
      <w:proofErr w:type="spellStart"/>
      <w:r w:rsidRPr="004A7F1F">
        <w:rPr>
          <w:i/>
        </w:rPr>
        <w:t>Phototoxicity</w:t>
      </w:r>
      <w:proofErr w:type="spellEnd"/>
      <w:r w:rsidRPr="004A7F1F">
        <w:rPr>
          <w:i/>
        </w:rPr>
        <w:t xml:space="preserve"> of PAHs may also be initiated in aquatic organisms which have accumulated PAHs from the sediment and subsequently are exposed to sun light closer to the surface (The Netherlands, 2008). Phototoxic effects of PAHs are therefore considered relevant in this hazard, respectively T- assessment. </w:t>
      </w:r>
    </w:p>
    <w:p w14:paraId="558313EC" w14:textId="77777777" w:rsidR="00551ADB" w:rsidRPr="004A7F1F" w:rsidRDefault="00551ADB" w:rsidP="003B3C62"/>
    <w:p w14:paraId="115C5C6E" w14:textId="77777777" w:rsidR="00B12C39" w:rsidRPr="004A7F1F" w:rsidRDefault="00B12C39" w:rsidP="000423CE">
      <w:pPr>
        <w:pStyle w:val="Heading3"/>
        <w:tabs>
          <w:tab w:val="clear" w:pos="360"/>
          <w:tab w:val="num" w:pos="284"/>
        </w:tabs>
      </w:pPr>
      <w:r w:rsidRPr="004A7F1F">
        <w:t xml:space="preserve"> </w:t>
      </w:r>
      <w:bookmarkStart w:id="501" w:name="_Toc341888589"/>
      <w:bookmarkStart w:id="502" w:name="_Toc342400450"/>
      <w:bookmarkStart w:id="503" w:name="_Toc354499626"/>
      <w:bookmarkStart w:id="504" w:name="_Toc357083701"/>
      <w:bookmarkStart w:id="505" w:name="_Toc357184250"/>
      <w:bookmarkStart w:id="506" w:name="_Toc357184486"/>
      <w:bookmarkStart w:id="507" w:name="_Toc357185288"/>
      <w:bookmarkStart w:id="508" w:name="_Toc357186136"/>
      <w:bookmarkStart w:id="509" w:name="_Toc357186285"/>
      <w:bookmarkStart w:id="510" w:name="_Toc357437571"/>
      <w:bookmarkStart w:id="511" w:name="_Toc357590844"/>
      <w:bookmarkStart w:id="512" w:name="_Toc357692876"/>
      <w:bookmarkStart w:id="513" w:name="_Toc365649704"/>
      <w:bookmarkStart w:id="514" w:name="_Toc365649853"/>
      <w:bookmarkStart w:id="515" w:name="_Toc366489905"/>
      <w:bookmarkStart w:id="516" w:name="_Toc418498609"/>
      <w:bookmarkStart w:id="517" w:name="_Toc418506057"/>
      <w:bookmarkStart w:id="518" w:name="_Toc491868911"/>
      <w:r w:rsidR="000423CE" w:rsidRPr="004A7F1F">
        <w:t xml:space="preserve">5.1.1 </w:t>
      </w:r>
      <w:r w:rsidRPr="004A7F1F">
        <w:t>Fish</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14:paraId="115C5C6F" w14:textId="77777777" w:rsidR="00B12C39" w:rsidRPr="004A7F1F" w:rsidRDefault="000423CE" w:rsidP="000423CE">
      <w:pPr>
        <w:pStyle w:val="Heading4"/>
        <w:tabs>
          <w:tab w:val="num" w:pos="284"/>
        </w:tabs>
      </w:pPr>
      <w:bookmarkStart w:id="519" w:name="_Toc341888590"/>
      <w:bookmarkStart w:id="520" w:name="_Toc342400451"/>
      <w:r w:rsidRPr="004A7F1F">
        <w:t xml:space="preserve">5.1.1.1 </w:t>
      </w:r>
      <w:r w:rsidR="00B12C39" w:rsidRPr="004A7F1F">
        <w:t>Short-term toxicity to fish</w:t>
      </w:r>
      <w:bookmarkEnd w:id="519"/>
      <w:bookmarkEnd w:id="520"/>
    </w:p>
    <w:p w14:paraId="1C2D0BA5" w14:textId="76D777CF" w:rsidR="00551ADB" w:rsidRPr="004A7F1F" w:rsidRDefault="00E15C32" w:rsidP="003B3C62">
      <w:pPr>
        <w:pStyle w:val="BodyText"/>
      </w:pPr>
      <w:r w:rsidRPr="004A7F1F">
        <w:t>No</w:t>
      </w:r>
      <w:r w:rsidR="004B1C13" w:rsidRPr="004A7F1F">
        <w:t xml:space="preserve"> standard test</w:t>
      </w:r>
      <w:r w:rsidRPr="004A7F1F">
        <w:t xml:space="preserve"> data on short-term toxicity to fish are available (search done </w:t>
      </w:r>
      <w:r w:rsidR="000871B1" w:rsidRPr="004A7F1F">
        <w:t>April</w:t>
      </w:r>
      <w:r w:rsidRPr="004A7F1F">
        <w:t xml:space="preserve"> </w:t>
      </w:r>
      <w:r w:rsidR="000871B1" w:rsidRPr="004A7F1F">
        <w:t>20</w:t>
      </w:r>
      <w:r w:rsidRPr="004A7F1F">
        <w:t>17).</w:t>
      </w:r>
      <w:r w:rsidR="004B1C13" w:rsidRPr="004A7F1F">
        <w:t xml:space="preserve"> </w:t>
      </w:r>
    </w:p>
    <w:p w14:paraId="115C5C70" w14:textId="1C27A733" w:rsidR="00B12C39" w:rsidRPr="004A7F1F" w:rsidRDefault="000423CE" w:rsidP="000423CE">
      <w:pPr>
        <w:pStyle w:val="Heading4"/>
        <w:tabs>
          <w:tab w:val="num" w:pos="284"/>
        </w:tabs>
      </w:pPr>
      <w:bookmarkStart w:id="521" w:name="_Toc341888591"/>
      <w:bookmarkStart w:id="522" w:name="_Toc342400452"/>
      <w:r w:rsidRPr="004A7F1F">
        <w:t xml:space="preserve">5.1.1.2 </w:t>
      </w:r>
      <w:r w:rsidR="00B12C39" w:rsidRPr="004A7F1F">
        <w:t>Long-term toxicity to fish</w:t>
      </w:r>
      <w:bookmarkEnd w:id="521"/>
      <w:bookmarkEnd w:id="522"/>
    </w:p>
    <w:p w14:paraId="115C5C71" w14:textId="6570A33D" w:rsidR="000423CE" w:rsidRPr="004A7F1F" w:rsidRDefault="00E15C32" w:rsidP="000423CE">
      <w:pPr>
        <w:pStyle w:val="BodyText"/>
      </w:pPr>
      <w:r w:rsidRPr="004A7F1F">
        <w:t xml:space="preserve">No data on </w:t>
      </w:r>
      <w:r w:rsidR="007626B4" w:rsidRPr="004A7F1F">
        <w:t>long</w:t>
      </w:r>
      <w:r w:rsidRPr="004A7F1F">
        <w:t xml:space="preserve">-term toxicity to fish are available (search done </w:t>
      </w:r>
      <w:r w:rsidR="00F3033A" w:rsidRPr="004A7F1F">
        <w:t>April</w:t>
      </w:r>
      <w:r w:rsidRPr="004A7F1F">
        <w:t xml:space="preserve"> </w:t>
      </w:r>
      <w:r w:rsidR="006A3F9C" w:rsidRPr="004A7F1F">
        <w:t>20</w:t>
      </w:r>
      <w:r w:rsidRPr="004A7F1F">
        <w:t>17).</w:t>
      </w:r>
    </w:p>
    <w:p w14:paraId="313F7BEE" w14:textId="30064FF6" w:rsidR="009E2371" w:rsidRPr="004A7F1F" w:rsidRDefault="009E2371" w:rsidP="00EE622A">
      <w:pPr>
        <w:pStyle w:val="BodyText"/>
        <w:jc w:val="both"/>
        <w:rPr>
          <w:lang w:val="en-US" w:eastAsia="en-GB"/>
        </w:rPr>
      </w:pPr>
      <w:r w:rsidRPr="004A7F1F">
        <w:t xml:space="preserve">There </w:t>
      </w:r>
      <w:r w:rsidR="006A3F9C" w:rsidRPr="004A7F1F">
        <w:t xml:space="preserve">are </w:t>
      </w:r>
      <w:r w:rsidRPr="004A7F1F">
        <w:t>only very few data available on CHR. Evaluation on long-term toxicity of CHR to fish was reported as following in the Support Document for identification of CTPHT as SVHC (ECHA, 2009):</w:t>
      </w:r>
    </w:p>
    <w:p w14:paraId="298CEC5F" w14:textId="3633569A" w:rsidR="009E2371" w:rsidRPr="004A7F1F" w:rsidRDefault="009E2371" w:rsidP="009E2371">
      <w:pPr>
        <w:pStyle w:val="BodyText"/>
        <w:rPr>
          <w:i/>
        </w:rPr>
      </w:pPr>
      <w:r w:rsidRPr="004A7F1F">
        <w:rPr>
          <w:i/>
        </w:rPr>
        <w:t xml:space="preserve">The water solubility of chrysene is about 1.6 </w:t>
      </w:r>
      <w:proofErr w:type="spellStart"/>
      <w:r w:rsidRPr="004A7F1F">
        <w:rPr>
          <w:i/>
        </w:rPr>
        <w:t>μg</w:t>
      </w:r>
      <w:proofErr w:type="spellEnd"/>
      <w:r w:rsidRPr="004A7F1F">
        <w:rPr>
          <w:i/>
        </w:rPr>
        <w:t xml:space="preserve">/l, with a range between 1.0 and 3.3 </w:t>
      </w:r>
      <w:proofErr w:type="spellStart"/>
      <w:r w:rsidRPr="004A7F1F">
        <w:rPr>
          <w:i/>
        </w:rPr>
        <w:t>μg</w:t>
      </w:r>
      <w:proofErr w:type="spellEnd"/>
      <w:r w:rsidRPr="004A7F1F">
        <w:rPr>
          <w:i/>
        </w:rPr>
        <w:t xml:space="preserve">/l (Mackay et al., </w:t>
      </w:r>
      <w:r w:rsidR="00E265A5" w:rsidRPr="004A7F1F">
        <w:rPr>
          <w:i/>
        </w:rPr>
        <w:t>2006</w:t>
      </w:r>
      <w:r w:rsidRPr="004A7F1F">
        <w:rPr>
          <w:i/>
        </w:rPr>
        <w:t>). Around or below this value, no significant effects were observed for any species in a regular toxicity experiment, although chronic toxicity studies were performed with algae, crustaceans (including Daphnia) and fish.</w:t>
      </w:r>
    </w:p>
    <w:p w14:paraId="115C5C72" w14:textId="77777777" w:rsidR="00B12C39" w:rsidRPr="004A7F1F" w:rsidRDefault="000423CE" w:rsidP="000423CE">
      <w:pPr>
        <w:pStyle w:val="Heading3"/>
        <w:tabs>
          <w:tab w:val="clear" w:pos="360"/>
          <w:tab w:val="num" w:pos="284"/>
        </w:tabs>
      </w:pPr>
      <w:bookmarkStart w:id="523" w:name="_Toc341888592"/>
      <w:bookmarkStart w:id="524" w:name="_Toc342400453"/>
      <w:bookmarkStart w:id="525" w:name="_Toc354499627"/>
      <w:bookmarkStart w:id="526" w:name="_Toc357083702"/>
      <w:bookmarkStart w:id="527" w:name="_Toc357184251"/>
      <w:bookmarkStart w:id="528" w:name="_Toc357184487"/>
      <w:bookmarkStart w:id="529" w:name="_Toc357185289"/>
      <w:bookmarkStart w:id="530" w:name="_Toc357186137"/>
      <w:bookmarkStart w:id="531" w:name="_Toc357186286"/>
      <w:bookmarkStart w:id="532" w:name="_Toc357437572"/>
      <w:bookmarkStart w:id="533" w:name="_Toc357590845"/>
      <w:bookmarkStart w:id="534" w:name="_Toc357692877"/>
      <w:bookmarkStart w:id="535" w:name="_Toc365649705"/>
      <w:bookmarkStart w:id="536" w:name="_Toc365649854"/>
      <w:bookmarkStart w:id="537" w:name="_Toc366489906"/>
      <w:bookmarkStart w:id="538" w:name="_Toc418498610"/>
      <w:bookmarkStart w:id="539" w:name="_Toc418506058"/>
      <w:bookmarkStart w:id="540" w:name="_Toc491868912"/>
      <w:r w:rsidRPr="004A7F1F">
        <w:lastRenderedPageBreak/>
        <w:t xml:space="preserve">5.1.2 </w:t>
      </w:r>
      <w:r w:rsidR="00B12C39" w:rsidRPr="004A7F1F">
        <w:t>Aquatic invertebrates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115C5C73" w14:textId="77777777" w:rsidR="00B12C39" w:rsidRPr="004A7F1F" w:rsidRDefault="000423CE" w:rsidP="00BC1D62">
      <w:pPr>
        <w:pStyle w:val="Heading4"/>
        <w:tabs>
          <w:tab w:val="num" w:pos="284"/>
        </w:tabs>
      </w:pPr>
      <w:bookmarkStart w:id="541" w:name="_Toc341888593"/>
      <w:bookmarkStart w:id="542" w:name="_Toc342400454"/>
      <w:r w:rsidRPr="004A7F1F">
        <w:t xml:space="preserve">5.1.2.1 </w:t>
      </w:r>
      <w:r w:rsidR="00B12C39" w:rsidRPr="004A7F1F">
        <w:t>Short-term toxicity to aquatic invertebrates</w:t>
      </w:r>
      <w:bookmarkEnd w:id="541"/>
      <w:bookmarkEnd w:id="542"/>
    </w:p>
    <w:p w14:paraId="37565AEE" w14:textId="7D366050" w:rsidR="003C361E" w:rsidRPr="004A7F1F" w:rsidRDefault="00B56E08" w:rsidP="00EE622A">
      <w:pPr>
        <w:pStyle w:val="BodyText"/>
        <w:jc w:val="both"/>
        <w:rPr>
          <w:lang w:val="en-US" w:eastAsia="en-GB"/>
        </w:rPr>
      </w:pPr>
      <w:r w:rsidRPr="004A7F1F">
        <w:t xml:space="preserve">There </w:t>
      </w:r>
      <w:r w:rsidR="00342168" w:rsidRPr="004A7F1F">
        <w:t xml:space="preserve">are </w:t>
      </w:r>
      <w:r w:rsidRPr="004A7F1F">
        <w:t xml:space="preserve">only very few data available on CHR. </w:t>
      </w:r>
      <w:r w:rsidR="00903785" w:rsidRPr="004A7F1F">
        <w:t xml:space="preserve">Evaluation </w:t>
      </w:r>
      <w:r w:rsidR="0043208C" w:rsidRPr="004A7F1F">
        <w:t xml:space="preserve">on short-term toxicity </w:t>
      </w:r>
      <w:r w:rsidR="00903785" w:rsidRPr="004A7F1F">
        <w:t xml:space="preserve">of CHR </w:t>
      </w:r>
      <w:r w:rsidR="0043208C" w:rsidRPr="004A7F1F">
        <w:t xml:space="preserve">to aquatic invertebrates </w:t>
      </w:r>
      <w:r w:rsidR="00903785" w:rsidRPr="004A7F1F">
        <w:t>was reported</w:t>
      </w:r>
      <w:r w:rsidR="00F3033A" w:rsidRPr="004A7F1F">
        <w:t xml:space="preserve"> </w:t>
      </w:r>
      <w:r w:rsidR="0043208C" w:rsidRPr="004A7F1F">
        <w:t>as following</w:t>
      </w:r>
      <w:r w:rsidR="00903785" w:rsidRPr="004A7F1F">
        <w:t xml:space="preserve"> in the Support Document for identification of CTPHT as SVHC (ECHA, 2009)</w:t>
      </w:r>
      <w:r w:rsidR="0043208C" w:rsidRPr="004A7F1F">
        <w:t>:</w:t>
      </w:r>
    </w:p>
    <w:p w14:paraId="69C4A0B6" w14:textId="77777777" w:rsidR="003C361E" w:rsidRPr="004A7F1F" w:rsidRDefault="003C361E" w:rsidP="003B3C62">
      <w:pPr>
        <w:pStyle w:val="Heading4"/>
        <w:numPr>
          <w:ilvl w:val="0"/>
          <w:numId w:val="0"/>
        </w:numPr>
        <w:rPr>
          <w:i/>
        </w:rPr>
      </w:pPr>
      <w:r w:rsidRPr="004A7F1F">
        <w:rPr>
          <w:i/>
          <w:sz w:val="20"/>
          <w:szCs w:val="20"/>
          <w:lang w:val="en-US" w:eastAsia="en-GB"/>
        </w:rPr>
        <w:t xml:space="preserve">The only study, that showed a considerable effect of chrysene, was a determination of the median lethal time of neonates of </w:t>
      </w:r>
      <w:r w:rsidRPr="004A7F1F">
        <w:rPr>
          <w:i/>
          <w:iCs/>
          <w:sz w:val="20"/>
          <w:szCs w:val="20"/>
          <w:lang w:val="en-US" w:eastAsia="en-GB"/>
        </w:rPr>
        <w:t xml:space="preserve">Daphnia magna </w:t>
      </w:r>
      <w:r w:rsidRPr="004A7F1F">
        <w:rPr>
          <w:i/>
          <w:sz w:val="20"/>
          <w:szCs w:val="20"/>
          <w:lang w:val="en-US" w:eastAsia="en-GB"/>
        </w:rPr>
        <w:t>(</w:t>
      </w:r>
      <w:proofErr w:type="spellStart"/>
      <w:r w:rsidRPr="004A7F1F">
        <w:rPr>
          <w:i/>
          <w:sz w:val="20"/>
          <w:szCs w:val="20"/>
          <w:lang w:val="en-US" w:eastAsia="en-GB"/>
        </w:rPr>
        <w:t>Newsted</w:t>
      </w:r>
      <w:proofErr w:type="spellEnd"/>
      <w:r w:rsidRPr="004A7F1F">
        <w:rPr>
          <w:i/>
          <w:sz w:val="20"/>
          <w:szCs w:val="20"/>
          <w:lang w:val="en-US" w:eastAsia="en-GB"/>
        </w:rPr>
        <w:t xml:space="preserve"> &amp; </w:t>
      </w:r>
      <w:proofErr w:type="spellStart"/>
      <w:r w:rsidRPr="004A7F1F">
        <w:rPr>
          <w:i/>
          <w:sz w:val="20"/>
          <w:szCs w:val="20"/>
          <w:lang w:val="en-US" w:eastAsia="en-GB"/>
        </w:rPr>
        <w:t>Giesy</w:t>
      </w:r>
      <w:proofErr w:type="spellEnd"/>
      <w:r w:rsidRPr="004A7F1F">
        <w:rPr>
          <w:i/>
          <w:sz w:val="20"/>
          <w:szCs w:val="20"/>
          <w:lang w:val="en-US" w:eastAsia="en-GB"/>
        </w:rPr>
        <w:t xml:space="preserve">, 1987). In this experiment, the </w:t>
      </w:r>
      <w:proofErr w:type="spellStart"/>
      <w:r w:rsidRPr="004A7F1F">
        <w:rPr>
          <w:i/>
          <w:sz w:val="20"/>
          <w:szCs w:val="20"/>
          <w:lang w:val="en-US" w:eastAsia="en-GB"/>
        </w:rPr>
        <w:t>daphnids</w:t>
      </w:r>
      <w:proofErr w:type="spellEnd"/>
      <w:r w:rsidRPr="004A7F1F">
        <w:rPr>
          <w:i/>
          <w:sz w:val="20"/>
          <w:szCs w:val="20"/>
          <w:lang w:val="en-US" w:eastAsia="en-GB"/>
        </w:rPr>
        <w:t xml:space="preserve"> were exposed to one concentration of chrysene</w:t>
      </w:r>
      <w:r w:rsidRPr="004A7F1F">
        <w:rPr>
          <w:i/>
          <w:lang w:val="en-US" w:eastAsia="en-GB"/>
        </w:rPr>
        <w:t xml:space="preserve"> </w:t>
      </w:r>
      <w:r w:rsidRPr="004A7F1F">
        <w:rPr>
          <w:i/>
          <w:sz w:val="20"/>
          <w:szCs w:val="20"/>
          <w:lang w:val="en-US" w:eastAsia="en-GB"/>
        </w:rPr>
        <w:t xml:space="preserve">(measured concentration of 0.7 </w:t>
      </w:r>
      <w:proofErr w:type="spellStart"/>
      <w:r w:rsidRPr="004A7F1F">
        <w:rPr>
          <w:i/>
          <w:sz w:val="20"/>
          <w:szCs w:val="20"/>
          <w:lang w:val="en-US" w:eastAsia="en-GB"/>
        </w:rPr>
        <w:t>μg</w:t>
      </w:r>
      <w:proofErr w:type="spellEnd"/>
      <w:r w:rsidRPr="004A7F1F">
        <w:rPr>
          <w:i/>
          <w:sz w:val="20"/>
          <w:szCs w:val="20"/>
          <w:lang w:val="en-US" w:eastAsia="en-GB"/>
        </w:rPr>
        <w:t xml:space="preserve">/l). After 24 hours of exposure with a 16:8 h </w:t>
      </w:r>
      <w:proofErr w:type="spellStart"/>
      <w:r w:rsidRPr="004A7F1F">
        <w:rPr>
          <w:i/>
          <w:sz w:val="20"/>
          <w:szCs w:val="20"/>
          <w:lang w:val="en-US" w:eastAsia="en-GB"/>
        </w:rPr>
        <w:t>light</w:t>
      </w:r>
      <w:proofErr w:type="gramStart"/>
      <w:r w:rsidRPr="004A7F1F">
        <w:rPr>
          <w:i/>
          <w:sz w:val="20"/>
          <w:szCs w:val="20"/>
          <w:lang w:val="en-US" w:eastAsia="en-GB"/>
        </w:rPr>
        <w:t>:dark</w:t>
      </w:r>
      <w:proofErr w:type="spellEnd"/>
      <w:proofErr w:type="gramEnd"/>
      <w:r w:rsidRPr="004A7F1F">
        <w:rPr>
          <w:i/>
          <w:lang w:val="en-US" w:eastAsia="en-GB"/>
        </w:rPr>
        <w:t xml:space="preserve"> </w:t>
      </w:r>
      <w:r w:rsidRPr="004A7F1F">
        <w:rPr>
          <w:i/>
          <w:sz w:val="20"/>
          <w:szCs w:val="20"/>
          <w:lang w:val="en-US" w:eastAsia="en-GB"/>
        </w:rPr>
        <w:t>photoperiod, the animals were exposed to a mix of UV A , UV B and visible light. The median</w:t>
      </w:r>
      <w:r w:rsidRPr="004A7F1F">
        <w:rPr>
          <w:i/>
          <w:lang w:val="en-US" w:eastAsia="en-GB"/>
        </w:rPr>
        <w:t xml:space="preserve"> </w:t>
      </w:r>
      <w:r w:rsidRPr="004A7F1F">
        <w:rPr>
          <w:i/>
          <w:sz w:val="20"/>
          <w:szCs w:val="20"/>
          <w:lang w:val="en-US" w:eastAsia="en-GB"/>
        </w:rPr>
        <w:t>lethal time after UV-radiation started was 24 hours. Thus, after 48 hours, of which the last 24 hours</w:t>
      </w:r>
      <w:r w:rsidRPr="004A7F1F">
        <w:rPr>
          <w:i/>
          <w:lang w:val="en-US" w:eastAsia="en-GB"/>
        </w:rPr>
        <w:t xml:space="preserve"> </w:t>
      </w:r>
      <w:r w:rsidRPr="004A7F1F">
        <w:rPr>
          <w:i/>
          <w:sz w:val="20"/>
          <w:szCs w:val="20"/>
          <w:lang w:val="en-US" w:eastAsia="en-GB"/>
        </w:rPr>
        <w:t xml:space="preserve">were with UV irradiation, 50% mortality of the </w:t>
      </w:r>
      <w:proofErr w:type="spellStart"/>
      <w:r w:rsidRPr="004A7F1F">
        <w:rPr>
          <w:i/>
          <w:sz w:val="20"/>
          <w:szCs w:val="20"/>
          <w:lang w:val="en-US" w:eastAsia="en-GB"/>
        </w:rPr>
        <w:t>daphnids</w:t>
      </w:r>
      <w:proofErr w:type="spellEnd"/>
      <w:r w:rsidRPr="004A7F1F">
        <w:rPr>
          <w:i/>
          <w:sz w:val="20"/>
          <w:szCs w:val="20"/>
          <w:lang w:val="en-US" w:eastAsia="en-GB"/>
        </w:rPr>
        <w:t xml:space="preserve"> occurred at 0.7 </w:t>
      </w:r>
      <w:proofErr w:type="spellStart"/>
      <w:r w:rsidRPr="004A7F1F">
        <w:rPr>
          <w:i/>
          <w:sz w:val="20"/>
          <w:szCs w:val="20"/>
          <w:lang w:val="en-US" w:eastAsia="en-GB"/>
        </w:rPr>
        <w:t>μg</w:t>
      </w:r>
      <w:proofErr w:type="spellEnd"/>
      <w:r w:rsidRPr="004A7F1F">
        <w:rPr>
          <w:i/>
          <w:sz w:val="20"/>
          <w:szCs w:val="20"/>
          <w:lang w:val="en-US" w:eastAsia="en-GB"/>
        </w:rPr>
        <w:t>/l. This type of study is</w:t>
      </w:r>
      <w:r w:rsidRPr="004A7F1F">
        <w:rPr>
          <w:i/>
          <w:lang w:val="en-US" w:eastAsia="en-GB"/>
        </w:rPr>
        <w:t xml:space="preserve"> </w:t>
      </w:r>
      <w:r w:rsidRPr="004A7F1F">
        <w:rPr>
          <w:i/>
          <w:sz w:val="20"/>
          <w:szCs w:val="20"/>
          <w:lang w:val="en-US" w:eastAsia="en-GB"/>
        </w:rPr>
        <w:t>however not designed to determine dose-response relationships and hence quantitative data on</w:t>
      </w:r>
      <w:r w:rsidRPr="004A7F1F">
        <w:rPr>
          <w:i/>
          <w:lang w:val="en-US" w:eastAsia="en-GB"/>
        </w:rPr>
        <w:t xml:space="preserve"> </w:t>
      </w:r>
      <w:r w:rsidRPr="004A7F1F">
        <w:rPr>
          <w:i/>
          <w:sz w:val="20"/>
          <w:szCs w:val="20"/>
          <w:lang w:val="en-US" w:eastAsia="en-GB"/>
        </w:rPr>
        <w:t>toxicity or toxicity threshold values cannot be derived from the result.</w:t>
      </w:r>
      <w:r w:rsidRPr="004A7F1F">
        <w:rPr>
          <w:i/>
          <w:lang w:val="en-US" w:eastAsia="en-GB"/>
        </w:rPr>
        <w:t xml:space="preserve"> </w:t>
      </w:r>
      <w:bookmarkStart w:id="543" w:name="_Toc341888594"/>
      <w:bookmarkStart w:id="544" w:name="_Toc342400455"/>
    </w:p>
    <w:p w14:paraId="115C5C74" w14:textId="77777777" w:rsidR="00B12C39" w:rsidRPr="004A7F1F" w:rsidRDefault="000423CE" w:rsidP="00BC1D62">
      <w:pPr>
        <w:pStyle w:val="Heading4"/>
        <w:tabs>
          <w:tab w:val="num" w:pos="284"/>
        </w:tabs>
      </w:pPr>
      <w:r w:rsidRPr="004A7F1F">
        <w:t xml:space="preserve">5.1.2.2 </w:t>
      </w:r>
      <w:r w:rsidR="00B12C39" w:rsidRPr="004A7F1F">
        <w:t>Long-term toxicity to aquatic invertebrates</w:t>
      </w:r>
      <w:bookmarkEnd w:id="543"/>
      <w:bookmarkEnd w:id="544"/>
    </w:p>
    <w:p w14:paraId="05B979CC" w14:textId="77777777" w:rsidR="009E2371" w:rsidRPr="004A7F1F" w:rsidRDefault="00F329A9" w:rsidP="00EE622A">
      <w:pPr>
        <w:pStyle w:val="BodyText"/>
        <w:ind w:left="1304" w:hanging="1304"/>
        <w:jc w:val="both"/>
      </w:pPr>
      <w:r w:rsidRPr="004A7F1F">
        <w:t>No standard test data on long-term toxicity to aquatic invertebrates are available.</w:t>
      </w:r>
    </w:p>
    <w:p w14:paraId="19B5422D" w14:textId="2A19D600" w:rsidR="009E2371" w:rsidRPr="004A7F1F" w:rsidRDefault="009E2371" w:rsidP="00EE622A">
      <w:pPr>
        <w:pStyle w:val="BodyText"/>
        <w:jc w:val="both"/>
        <w:rPr>
          <w:lang w:val="en-US" w:eastAsia="en-GB"/>
        </w:rPr>
      </w:pPr>
      <w:r w:rsidRPr="004A7F1F">
        <w:t xml:space="preserve">There </w:t>
      </w:r>
      <w:r w:rsidR="00342168" w:rsidRPr="004A7F1F">
        <w:t xml:space="preserve">are </w:t>
      </w:r>
      <w:r w:rsidRPr="004A7F1F">
        <w:t>only very few data available on CHR. Evaluation on long-term toxicity of CHR to aquatic invertebrates was reported as following in the Support Document for identification of CTPHT as SVHC (ECHA, 2009):</w:t>
      </w:r>
    </w:p>
    <w:p w14:paraId="59B87809" w14:textId="77777777" w:rsidR="009E2371" w:rsidRPr="004A7F1F" w:rsidRDefault="009E2371" w:rsidP="00EE622A">
      <w:pPr>
        <w:pStyle w:val="BodyText"/>
        <w:jc w:val="both"/>
        <w:rPr>
          <w:i/>
        </w:rPr>
      </w:pPr>
      <w:r w:rsidRPr="004A7F1F">
        <w:rPr>
          <w:i/>
        </w:rPr>
        <w:t xml:space="preserve">The water solubility of chrysene is about 1.6 </w:t>
      </w:r>
      <w:proofErr w:type="spellStart"/>
      <w:r w:rsidRPr="004A7F1F">
        <w:rPr>
          <w:i/>
        </w:rPr>
        <w:t>μg</w:t>
      </w:r>
      <w:proofErr w:type="spellEnd"/>
      <w:r w:rsidRPr="004A7F1F">
        <w:rPr>
          <w:i/>
        </w:rPr>
        <w:t xml:space="preserve">/l, with a range between 1.0 and 3.3 </w:t>
      </w:r>
      <w:proofErr w:type="spellStart"/>
      <w:r w:rsidRPr="004A7F1F">
        <w:rPr>
          <w:i/>
        </w:rPr>
        <w:t>μg</w:t>
      </w:r>
      <w:proofErr w:type="spellEnd"/>
      <w:r w:rsidRPr="004A7F1F">
        <w:rPr>
          <w:i/>
        </w:rPr>
        <w:t>/l (Mackay et al., 2000). Around or below this value, no significant effects were observed for any species in a regular toxicity experiment, although chronic toxicity studies were performed with algae, crustaceans (including Daphnia) and fish.</w:t>
      </w:r>
    </w:p>
    <w:p w14:paraId="07843FC7" w14:textId="73C92448" w:rsidR="009E2371" w:rsidRPr="004A7F1F" w:rsidRDefault="009E2371" w:rsidP="00F23E2D">
      <w:pPr>
        <w:pStyle w:val="Heading3"/>
      </w:pPr>
      <w:bookmarkStart w:id="545" w:name="_Toc491868913"/>
      <w:r w:rsidRPr="004A7F1F">
        <w:t>5.1.3 Algae and aquatic plants</w:t>
      </w:r>
      <w:bookmarkEnd w:id="545"/>
    </w:p>
    <w:p w14:paraId="11645D25" w14:textId="3C3377EC" w:rsidR="009E2371" w:rsidRPr="004A7F1F" w:rsidRDefault="009E2371" w:rsidP="009E2371">
      <w:pPr>
        <w:pStyle w:val="BodyText"/>
        <w:rPr>
          <w:lang w:val="en-US" w:eastAsia="en-GB"/>
        </w:rPr>
      </w:pPr>
      <w:r w:rsidRPr="004A7F1F">
        <w:t xml:space="preserve">There </w:t>
      </w:r>
      <w:r w:rsidR="00342168" w:rsidRPr="004A7F1F">
        <w:t xml:space="preserve">are </w:t>
      </w:r>
      <w:r w:rsidRPr="004A7F1F">
        <w:t>only very few data available on CHR. Evaluation on toxicity of CHR to aquatic algae was reported as following in the Support Document for identification of CTPHT as SVHC (ECHA, 2009):</w:t>
      </w:r>
    </w:p>
    <w:p w14:paraId="1EC50279" w14:textId="6E32A6EB" w:rsidR="00D121A7" w:rsidRPr="004A7F1F" w:rsidRDefault="009E2371" w:rsidP="005943A6">
      <w:pPr>
        <w:pStyle w:val="BodyText"/>
        <w:rPr>
          <w:i/>
        </w:rPr>
      </w:pPr>
      <w:r w:rsidRPr="004A7F1F">
        <w:rPr>
          <w:i/>
        </w:rPr>
        <w:t xml:space="preserve">The water solubility of chrysene is about 1.6 </w:t>
      </w:r>
      <w:proofErr w:type="spellStart"/>
      <w:r w:rsidRPr="004A7F1F">
        <w:rPr>
          <w:i/>
        </w:rPr>
        <w:t>μg</w:t>
      </w:r>
      <w:proofErr w:type="spellEnd"/>
      <w:r w:rsidRPr="004A7F1F">
        <w:rPr>
          <w:i/>
        </w:rPr>
        <w:t xml:space="preserve">/l, with a range between 1.0 and 3.3 </w:t>
      </w:r>
      <w:proofErr w:type="spellStart"/>
      <w:r w:rsidRPr="004A7F1F">
        <w:rPr>
          <w:i/>
        </w:rPr>
        <w:t>μg</w:t>
      </w:r>
      <w:proofErr w:type="spellEnd"/>
      <w:r w:rsidRPr="004A7F1F">
        <w:rPr>
          <w:i/>
        </w:rPr>
        <w:t xml:space="preserve">/l (Mackay et al., </w:t>
      </w:r>
      <w:r w:rsidR="00E265A5" w:rsidRPr="004A7F1F">
        <w:rPr>
          <w:i/>
        </w:rPr>
        <w:t>2006</w:t>
      </w:r>
      <w:r w:rsidRPr="004A7F1F">
        <w:rPr>
          <w:i/>
        </w:rPr>
        <w:t>). Around or below this value, no significant effects were observed for any species in a regular toxicity experiment, although chronic toxicity studies were performed with algae, crustaceans (including Daphnia) and fish.</w:t>
      </w:r>
      <w:bookmarkStart w:id="546" w:name="_Toc341888598"/>
      <w:bookmarkStart w:id="547" w:name="_Toc342400460"/>
      <w:bookmarkStart w:id="548" w:name="_Toc354499631"/>
      <w:bookmarkStart w:id="549" w:name="_Toc357083706"/>
      <w:bookmarkStart w:id="550" w:name="_Toc357184255"/>
      <w:bookmarkStart w:id="551" w:name="_Toc357184491"/>
      <w:bookmarkStart w:id="552" w:name="_Toc357185293"/>
      <w:bookmarkStart w:id="553" w:name="_Toc357186141"/>
      <w:bookmarkStart w:id="554" w:name="_Toc357186290"/>
      <w:bookmarkStart w:id="555" w:name="_Toc357437576"/>
      <w:bookmarkStart w:id="556" w:name="_Toc357590849"/>
      <w:bookmarkStart w:id="557" w:name="_Toc357692881"/>
      <w:bookmarkStart w:id="558" w:name="_Toc365649709"/>
      <w:bookmarkStart w:id="559" w:name="_Toc365649858"/>
      <w:bookmarkStart w:id="560" w:name="_Toc366489910"/>
      <w:bookmarkStart w:id="561" w:name="_Toc418498614"/>
      <w:bookmarkStart w:id="562" w:name="_Toc418506062"/>
    </w:p>
    <w:p w14:paraId="115C5C95" w14:textId="5CE5BF41" w:rsidR="00B12C39" w:rsidRPr="004A7F1F" w:rsidRDefault="009454D6" w:rsidP="00F87EF5">
      <w:pPr>
        <w:pStyle w:val="Heading2"/>
      </w:pPr>
      <w:bookmarkStart w:id="563" w:name="_Toc354499641"/>
      <w:bookmarkStart w:id="564" w:name="_Toc357083716"/>
      <w:bookmarkStart w:id="565" w:name="_Toc357184265"/>
      <w:bookmarkStart w:id="566" w:name="_Toc357184501"/>
      <w:bookmarkStart w:id="567" w:name="_Toc357185303"/>
      <w:bookmarkStart w:id="568" w:name="_Toc357186151"/>
      <w:bookmarkStart w:id="569" w:name="_Toc357186300"/>
      <w:bookmarkStart w:id="570" w:name="_Toc357437586"/>
      <w:bookmarkStart w:id="571" w:name="_Toc357590859"/>
      <w:bookmarkStart w:id="572" w:name="_Toc357692891"/>
      <w:bookmarkStart w:id="573" w:name="_Toc365649717"/>
      <w:bookmarkStart w:id="574" w:name="_Toc365649866"/>
      <w:bookmarkStart w:id="575" w:name="_Toc366489918"/>
      <w:bookmarkStart w:id="576" w:name="_Toc418498622"/>
      <w:bookmarkStart w:id="577" w:name="_Toc418506077"/>
      <w:bookmarkStart w:id="578" w:name="_Toc491868914"/>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4A7F1F">
        <w:t>5.</w:t>
      </w:r>
      <w:r w:rsidR="00F83B34" w:rsidRPr="004A7F1F">
        <w:t>6</w:t>
      </w:r>
      <w:r w:rsidRPr="004A7F1F">
        <w:t xml:space="preserve"> </w:t>
      </w:r>
      <w:r w:rsidR="00B12C39" w:rsidRPr="004A7F1F">
        <w:t xml:space="preserve">Summary and discussion of </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001A7031" w:rsidRPr="004A7F1F">
        <w:t>the environmental hazard assessment</w:t>
      </w:r>
      <w:bookmarkEnd w:id="578"/>
    </w:p>
    <w:p w14:paraId="6DDCA6D0" w14:textId="631CA4A7" w:rsidR="000118D2" w:rsidRPr="004A7F1F" w:rsidRDefault="00BA563E" w:rsidP="003B3C62">
      <w:pPr>
        <w:widowControl/>
        <w:autoSpaceDE w:val="0"/>
        <w:autoSpaceDN w:val="0"/>
        <w:adjustRightInd w:val="0"/>
        <w:jc w:val="both"/>
        <w:rPr>
          <w:lang w:val="en-US" w:eastAsia="en-GB"/>
        </w:rPr>
      </w:pPr>
      <w:r w:rsidRPr="004A7F1F">
        <w:t xml:space="preserve">The environmental hazard assessment for CHR was </w:t>
      </w:r>
      <w:r w:rsidR="00B4033E" w:rsidRPr="004A7F1F">
        <w:t xml:space="preserve">previously done for the identification of CTPHT as SVHC (ECHA, 2009). </w:t>
      </w:r>
      <w:r w:rsidR="000118D2" w:rsidRPr="004A7F1F">
        <w:t>It is reported that “</w:t>
      </w:r>
      <w:r w:rsidR="000118D2" w:rsidRPr="004A7F1F">
        <w:rPr>
          <w:i/>
        </w:rPr>
        <w:t>the only study, that showed a considerable effect of chrysene, w</w:t>
      </w:r>
      <w:r w:rsidR="000118D2" w:rsidRPr="004A7F1F">
        <w:t xml:space="preserve">as a </w:t>
      </w:r>
      <w:r w:rsidR="000118D2" w:rsidRPr="004A7F1F">
        <w:rPr>
          <w:i/>
          <w:lang w:val="en-US" w:eastAsia="en-GB"/>
        </w:rPr>
        <w:t xml:space="preserve">determination of the median lethal time of neonates of </w:t>
      </w:r>
      <w:r w:rsidR="000118D2" w:rsidRPr="004A7F1F">
        <w:rPr>
          <w:i/>
          <w:iCs/>
          <w:lang w:val="en-US" w:eastAsia="en-GB"/>
        </w:rPr>
        <w:t xml:space="preserve">Daphnia magna at a concentration of 0.7 µg/L </w:t>
      </w:r>
      <w:r w:rsidR="000118D2" w:rsidRPr="004A7F1F">
        <w:rPr>
          <w:i/>
          <w:lang w:val="en-US" w:eastAsia="en-GB"/>
        </w:rPr>
        <w:t>(</w:t>
      </w:r>
      <w:proofErr w:type="spellStart"/>
      <w:r w:rsidR="000118D2" w:rsidRPr="004A7F1F">
        <w:rPr>
          <w:i/>
          <w:lang w:val="en-US" w:eastAsia="en-GB"/>
        </w:rPr>
        <w:t>Newsted</w:t>
      </w:r>
      <w:proofErr w:type="spellEnd"/>
      <w:r w:rsidR="000118D2" w:rsidRPr="004A7F1F">
        <w:rPr>
          <w:i/>
          <w:lang w:val="en-US" w:eastAsia="en-GB"/>
        </w:rPr>
        <w:t xml:space="preserve"> &amp; </w:t>
      </w:r>
      <w:proofErr w:type="spellStart"/>
      <w:r w:rsidR="000118D2" w:rsidRPr="004A7F1F">
        <w:rPr>
          <w:i/>
          <w:lang w:val="en-US" w:eastAsia="en-GB"/>
        </w:rPr>
        <w:t>Giesy</w:t>
      </w:r>
      <w:proofErr w:type="spellEnd"/>
      <w:r w:rsidR="000118D2" w:rsidRPr="004A7F1F">
        <w:rPr>
          <w:i/>
          <w:lang w:val="en-US" w:eastAsia="en-GB"/>
        </w:rPr>
        <w:t>, 1987). [</w:t>
      </w:r>
      <w:r w:rsidR="00343408" w:rsidRPr="004A7F1F">
        <w:rPr>
          <w:i/>
          <w:lang w:val="en-US" w:eastAsia="en-GB"/>
        </w:rPr>
        <w:t>…</w:t>
      </w:r>
      <w:r w:rsidR="000118D2" w:rsidRPr="004A7F1F">
        <w:rPr>
          <w:i/>
          <w:lang w:val="en-US" w:eastAsia="en-GB"/>
        </w:rPr>
        <w:t>]</w:t>
      </w:r>
      <w:r w:rsidR="00343408" w:rsidRPr="004A7F1F">
        <w:rPr>
          <w:i/>
          <w:lang w:val="en-US" w:eastAsia="en-GB"/>
        </w:rPr>
        <w:t xml:space="preserve"> This type of study is however not designed to determine dose-response relationships and hence quantitative data on toxicity or toxicity threshold values cannot be derived from the result.</w:t>
      </w:r>
      <w:r w:rsidR="000118D2" w:rsidRPr="004A7F1F">
        <w:rPr>
          <w:i/>
          <w:lang w:val="en-US" w:eastAsia="en-GB"/>
        </w:rPr>
        <w:t>”</w:t>
      </w:r>
    </w:p>
    <w:p w14:paraId="5CE5933A" w14:textId="77777777" w:rsidR="00343408" w:rsidRPr="004A7F1F" w:rsidRDefault="00343408" w:rsidP="003B3C62">
      <w:pPr>
        <w:widowControl/>
        <w:autoSpaceDE w:val="0"/>
        <w:autoSpaceDN w:val="0"/>
        <w:adjustRightInd w:val="0"/>
        <w:jc w:val="both"/>
      </w:pPr>
    </w:p>
    <w:p w14:paraId="18DCA0C6" w14:textId="77777777" w:rsidR="00BD0639" w:rsidRPr="004A7F1F" w:rsidRDefault="00BD0639" w:rsidP="00B12C39">
      <w:pPr>
        <w:pStyle w:val="BodyText"/>
        <w:rPr>
          <w:rFonts w:cs="Arial"/>
          <w:b/>
          <w:color w:val="0046AD"/>
          <w:sz w:val="24"/>
          <w:szCs w:val="22"/>
        </w:rPr>
      </w:pPr>
    </w:p>
    <w:p w14:paraId="115C5C97" w14:textId="77777777" w:rsidR="00B12C39" w:rsidRPr="004A7F1F" w:rsidRDefault="00B12C39" w:rsidP="00E45915">
      <w:pPr>
        <w:pStyle w:val="Heading1"/>
      </w:pPr>
      <w:r w:rsidRPr="004A7F1F">
        <w:br w:type="page"/>
      </w:r>
      <w:bookmarkStart w:id="579" w:name="_Toc341888610"/>
      <w:bookmarkStart w:id="580" w:name="_Toc342400470"/>
      <w:bookmarkStart w:id="581" w:name="_Toc354499642"/>
      <w:bookmarkStart w:id="582" w:name="_Toc357083717"/>
      <w:bookmarkStart w:id="583" w:name="_Toc357184266"/>
      <w:bookmarkStart w:id="584" w:name="_Toc357184502"/>
      <w:bookmarkStart w:id="585" w:name="_Toc357185304"/>
      <w:bookmarkStart w:id="586" w:name="_Toc357186152"/>
      <w:bookmarkStart w:id="587" w:name="_Toc357186301"/>
      <w:bookmarkStart w:id="588" w:name="_Toc357437587"/>
      <w:bookmarkStart w:id="589" w:name="_Toc357590860"/>
      <w:bookmarkStart w:id="590" w:name="_Toc357692892"/>
      <w:bookmarkStart w:id="591" w:name="_Toc365649718"/>
      <w:bookmarkStart w:id="592" w:name="_Toc365649867"/>
      <w:bookmarkStart w:id="593" w:name="_Toc366489919"/>
      <w:bookmarkStart w:id="594" w:name="_Toc418498623"/>
      <w:bookmarkStart w:id="595" w:name="_Toc418506078"/>
      <w:bookmarkStart w:id="596" w:name="_Toc491868915"/>
      <w:r w:rsidRPr="004A7F1F">
        <w:lastRenderedPageBreak/>
        <w:t>Conclusions on the SVHC Properties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14:paraId="115C5C98" w14:textId="77777777" w:rsidR="00B12C39" w:rsidRPr="004A7F1F" w:rsidRDefault="00E45915" w:rsidP="00E45915">
      <w:pPr>
        <w:pStyle w:val="Heading2"/>
      </w:pPr>
      <w:bookmarkStart w:id="597" w:name="_Toc354499643"/>
      <w:bookmarkStart w:id="598" w:name="_Toc357083718"/>
      <w:bookmarkStart w:id="599" w:name="_Toc357184267"/>
      <w:bookmarkStart w:id="600" w:name="_Toc357184503"/>
      <w:bookmarkStart w:id="601" w:name="_Toc357185305"/>
      <w:bookmarkStart w:id="602" w:name="_Toc357186153"/>
      <w:bookmarkStart w:id="603" w:name="_Toc357186302"/>
      <w:bookmarkStart w:id="604" w:name="_Toc357437588"/>
      <w:bookmarkStart w:id="605" w:name="_Toc357590861"/>
      <w:bookmarkStart w:id="606" w:name="_Toc357692893"/>
      <w:bookmarkStart w:id="607" w:name="_Toc365649719"/>
      <w:bookmarkStart w:id="608" w:name="_Toc365649868"/>
      <w:bookmarkStart w:id="609" w:name="_Toc366489920"/>
      <w:bookmarkStart w:id="610" w:name="_Toc418498624"/>
      <w:bookmarkStart w:id="611" w:name="_Toc418506079"/>
      <w:bookmarkStart w:id="612" w:name="_Toc491868916"/>
      <w:r w:rsidRPr="004A7F1F">
        <w:t xml:space="preserve">6.1 </w:t>
      </w:r>
      <w:r w:rsidR="00B12C39" w:rsidRPr="004A7F1F">
        <w:t>CMR assessment</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115C5C9A" w14:textId="32D927CB" w:rsidR="00E55DE1" w:rsidRPr="004A7F1F" w:rsidRDefault="00934E10" w:rsidP="00E55DE1">
      <w:pPr>
        <w:widowControl/>
        <w:spacing w:after="180"/>
        <w:jc w:val="both"/>
        <w:rPr>
          <w:szCs w:val="24"/>
          <w:lang w:eastAsia="en-US"/>
        </w:rPr>
      </w:pPr>
      <w:r w:rsidRPr="004A7F1F">
        <w:rPr>
          <w:szCs w:val="24"/>
          <w:lang w:eastAsia="en-US"/>
        </w:rPr>
        <w:t>Chrysene</w:t>
      </w:r>
      <w:r w:rsidR="00E55DE1" w:rsidRPr="004A7F1F">
        <w:rPr>
          <w:szCs w:val="24"/>
          <w:lang w:eastAsia="en-US"/>
        </w:rPr>
        <w:t xml:space="preserve"> is covered by index number </w:t>
      </w:r>
      <w:r w:rsidRPr="004A7F1F">
        <w:rPr>
          <w:szCs w:val="24"/>
          <w:lang w:eastAsia="en-US"/>
        </w:rPr>
        <w:t xml:space="preserve">601-048-00-0 </w:t>
      </w:r>
      <w:r w:rsidR="003740C1" w:rsidRPr="004A7F1F">
        <w:t>of Regulation (EC) No 1272/2008 in Annex VI, part 3, Table 3.1 (the list of harmonised classification and labelling of hazardous substances) and</w:t>
      </w:r>
      <w:r w:rsidR="00E55DE1" w:rsidRPr="004A7F1F">
        <w:rPr>
          <w:szCs w:val="24"/>
          <w:lang w:eastAsia="en-US"/>
        </w:rPr>
        <w:t xml:space="preserve"> it is classified in</w:t>
      </w:r>
      <w:r w:rsidR="00E55DE1" w:rsidRPr="004A7F1F">
        <w:t xml:space="preserve"> the hazard class </w:t>
      </w:r>
      <w:r w:rsidR="00E55DE1" w:rsidRPr="004A7F1F">
        <w:rPr>
          <w:szCs w:val="24"/>
          <w:lang w:eastAsia="en-US"/>
        </w:rPr>
        <w:t xml:space="preserve">carcinogenicity </w:t>
      </w:r>
      <w:r w:rsidR="00E55DE1" w:rsidRPr="004A7F1F">
        <w:t xml:space="preserve">category </w:t>
      </w:r>
      <w:r w:rsidR="00E55DE1" w:rsidRPr="004A7F1F">
        <w:rPr>
          <w:szCs w:val="24"/>
          <w:lang w:eastAsia="en-US"/>
        </w:rPr>
        <w:t xml:space="preserve">1B (hazard statement H350: “May cause cancer”). </w:t>
      </w:r>
    </w:p>
    <w:p w14:paraId="115C5C9D" w14:textId="5D3461B8" w:rsidR="007A25BC" w:rsidRPr="004A7F1F" w:rsidRDefault="007A25BC" w:rsidP="007A25BC">
      <w:pPr>
        <w:jc w:val="both"/>
        <w:rPr>
          <w:lang w:eastAsia="en-US"/>
        </w:rPr>
      </w:pPr>
      <w:r w:rsidRPr="004A7F1F">
        <w:rPr>
          <w:lang w:eastAsia="en-US"/>
        </w:rPr>
        <w:t xml:space="preserve">Therefore, this classification of the substance in Regulation (EC) No 1272/2008 shows that it meets the criteria for classification </w:t>
      </w:r>
      <w:r w:rsidR="00F17301" w:rsidRPr="004A7F1F">
        <w:rPr>
          <w:lang w:eastAsia="en-US"/>
        </w:rPr>
        <w:t>in the hazard class</w:t>
      </w:r>
      <w:r w:rsidRPr="004A7F1F">
        <w:rPr>
          <w:lang w:eastAsia="en-US"/>
        </w:rPr>
        <w:t xml:space="preserve">: </w:t>
      </w:r>
    </w:p>
    <w:p w14:paraId="115C5C9E" w14:textId="77777777" w:rsidR="007A25BC" w:rsidRPr="004A7F1F" w:rsidRDefault="007A25BC" w:rsidP="007A25BC">
      <w:pPr>
        <w:jc w:val="both"/>
        <w:rPr>
          <w:lang w:eastAsia="en-US"/>
        </w:rPr>
      </w:pPr>
    </w:p>
    <w:p w14:paraId="115C5C9F" w14:textId="4FD85C5B" w:rsidR="007A25BC" w:rsidRPr="004A7F1F" w:rsidRDefault="007A25BC" w:rsidP="00891184">
      <w:pPr>
        <w:numPr>
          <w:ilvl w:val="0"/>
          <w:numId w:val="17"/>
        </w:numPr>
        <w:jc w:val="both"/>
        <w:rPr>
          <w:lang w:eastAsia="en-US"/>
        </w:rPr>
      </w:pPr>
      <w:proofErr w:type="gramStart"/>
      <w:r w:rsidRPr="004A7F1F">
        <w:rPr>
          <w:lang w:eastAsia="en-US"/>
        </w:rPr>
        <w:t>carcinogen</w:t>
      </w:r>
      <w:r w:rsidR="00F17301" w:rsidRPr="004A7F1F">
        <w:rPr>
          <w:lang w:eastAsia="en-US"/>
        </w:rPr>
        <w:t>icity</w:t>
      </w:r>
      <w:proofErr w:type="gramEnd"/>
      <w:r w:rsidRPr="004A7F1F">
        <w:rPr>
          <w:lang w:eastAsia="en-US"/>
        </w:rPr>
        <w:t xml:space="preserve"> </w:t>
      </w:r>
      <w:r w:rsidR="00F17301" w:rsidRPr="004A7F1F">
        <w:t xml:space="preserve">category 1B </w:t>
      </w:r>
      <w:r w:rsidRPr="004A7F1F">
        <w:rPr>
          <w:lang w:eastAsia="en-US"/>
        </w:rPr>
        <w:t>in accordance with Article 57 (a) of REACH.</w:t>
      </w:r>
    </w:p>
    <w:p w14:paraId="115C5CA5" w14:textId="77777777" w:rsidR="00B12C39" w:rsidRPr="004A7F1F" w:rsidRDefault="00B12C39" w:rsidP="00B12C39">
      <w:pPr>
        <w:pStyle w:val="BodyText"/>
      </w:pPr>
    </w:p>
    <w:p w14:paraId="115C5CA6" w14:textId="77777777" w:rsidR="00B12C39" w:rsidRPr="004A7F1F" w:rsidRDefault="00E45915" w:rsidP="00E45915">
      <w:pPr>
        <w:pStyle w:val="Heading2"/>
      </w:pPr>
      <w:bookmarkStart w:id="613" w:name="_Toc341888611"/>
      <w:bookmarkStart w:id="614" w:name="_Toc342400471"/>
      <w:bookmarkStart w:id="615" w:name="_Toc354499644"/>
      <w:bookmarkStart w:id="616" w:name="_Toc357083719"/>
      <w:bookmarkStart w:id="617" w:name="_Toc357184268"/>
      <w:bookmarkStart w:id="618" w:name="_Toc357184504"/>
      <w:bookmarkStart w:id="619" w:name="_Toc357185306"/>
      <w:bookmarkStart w:id="620" w:name="_Toc357186154"/>
      <w:bookmarkStart w:id="621" w:name="_Toc357186303"/>
      <w:bookmarkStart w:id="622" w:name="_Toc357437589"/>
      <w:bookmarkStart w:id="623" w:name="_Toc357590862"/>
      <w:bookmarkStart w:id="624" w:name="_Toc357692894"/>
      <w:bookmarkStart w:id="625" w:name="_Toc365649720"/>
      <w:bookmarkStart w:id="626" w:name="_Toc365649869"/>
      <w:bookmarkStart w:id="627" w:name="_Toc366489921"/>
      <w:bookmarkStart w:id="628" w:name="_Toc418498625"/>
      <w:bookmarkStart w:id="629" w:name="_Toc418506080"/>
      <w:bookmarkStart w:id="630" w:name="_Toc491868917"/>
      <w:r w:rsidRPr="004A7F1F">
        <w:t xml:space="preserve">6.2 </w:t>
      </w:r>
      <w:r w:rsidR="00B12C39" w:rsidRPr="004A7F1F">
        <w:t xml:space="preserve">PBT and </w:t>
      </w:r>
      <w:proofErr w:type="spellStart"/>
      <w:r w:rsidR="00B12C39" w:rsidRPr="004A7F1F">
        <w:t>vPvB</w:t>
      </w:r>
      <w:proofErr w:type="spellEnd"/>
      <w:r w:rsidR="00B12C39" w:rsidRPr="004A7F1F">
        <w:t xml:space="preserve"> assessment</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14:paraId="115C5CAE" w14:textId="77777777" w:rsidR="002F25D9" w:rsidRPr="004A7F1F" w:rsidRDefault="009A5369" w:rsidP="00716967">
      <w:pPr>
        <w:pStyle w:val="Heading3"/>
        <w:numPr>
          <w:ilvl w:val="0"/>
          <w:numId w:val="0"/>
        </w:numPr>
        <w:tabs>
          <w:tab w:val="left" w:pos="0"/>
        </w:tabs>
      </w:pPr>
      <w:bookmarkStart w:id="631" w:name="_Toc342400472"/>
      <w:bookmarkStart w:id="632" w:name="_Toc354499645"/>
      <w:bookmarkStart w:id="633" w:name="_Toc357083720"/>
      <w:bookmarkStart w:id="634" w:name="_Toc357184269"/>
      <w:bookmarkStart w:id="635" w:name="_Toc357184505"/>
      <w:bookmarkStart w:id="636" w:name="_Toc357185307"/>
      <w:bookmarkStart w:id="637" w:name="_Toc357186155"/>
      <w:bookmarkStart w:id="638" w:name="_Toc357186304"/>
      <w:bookmarkStart w:id="639" w:name="_Toc357437590"/>
      <w:bookmarkStart w:id="640" w:name="_Toc357590863"/>
      <w:bookmarkStart w:id="641" w:name="_Toc357692895"/>
      <w:bookmarkStart w:id="642" w:name="_Toc365649721"/>
      <w:bookmarkStart w:id="643" w:name="_Toc365649870"/>
      <w:bookmarkStart w:id="644" w:name="_Toc366489922"/>
      <w:bookmarkStart w:id="645" w:name="_Toc418498626"/>
      <w:bookmarkStart w:id="646" w:name="_Toc418506081"/>
      <w:bookmarkStart w:id="647" w:name="_Toc491868918"/>
      <w:bookmarkStart w:id="648" w:name="_Toc341888612"/>
      <w:r w:rsidRPr="004A7F1F">
        <w:t xml:space="preserve">6.2.1 </w:t>
      </w:r>
      <w:r w:rsidR="00B12C39" w:rsidRPr="004A7F1F">
        <w:t>Assessment of PBT/</w:t>
      </w:r>
      <w:proofErr w:type="spellStart"/>
      <w:r w:rsidR="00B12C39" w:rsidRPr="004A7F1F">
        <w:t>vPvB</w:t>
      </w:r>
      <w:proofErr w:type="spellEnd"/>
      <w:r w:rsidR="00B12C39" w:rsidRPr="004A7F1F">
        <w:t xml:space="preserve"> properties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14:paraId="2E298668" w14:textId="49C5B04C" w:rsidR="00C9763C" w:rsidRPr="004A7F1F" w:rsidRDefault="009F6F12" w:rsidP="00C9763C">
      <w:pPr>
        <w:jc w:val="both"/>
      </w:pPr>
      <w:bookmarkStart w:id="649" w:name="_Toc341888613"/>
      <w:bookmarkStart w:id="650" w:name="_Toc342400473"/>
      <w:bookmarkEnd w:id="648"/>
      <w:r w:rsidRPr="004A7F1F">
        <w:t>The PBT/</w:t>
      </w:r>
      <w:proofErr w:type="spellStart"/>
      <w:r w:rsidRPr="004A7F1F">
        <w:t>vPvB</w:t>
      </w:r>
      <w:proofErr w:type="spellEnd"/>
      <w:r w:rsidRPr="004A7F1F">
        <w:t xml:space="preserve"> assessment is based on information provided in the support document for the identification of CTPHT as SVHC (ECHA, 2009).</w:t>
      </w:r>
      <w:r w:rsidR="00C9763C" w:rsidRPr="00C9763C">
        <w:t xml:space="preserve"> </w:t>
      </w:r>
      <w:r w:rsidR="00C9763C">
        <w:t>As a</w:t>
      </w:r>
      <w:r w:rsidR="00C9763C" w:rsidRPr="004A7F1F">
        <w:t xml:space="preserve">dditional information </w:t>
      </w:r>
      <w:r w:rsidR="00C9763C">
        <w:t xml:space="preserve">earlier assessments documented </w:t>
      </w:r>
      <w:r w:rsidR="00C9763C" w:rsidRPr="004A7F1F">
        <w:t>in the EU Risk Assessment Report on CTPHT (European Commission, 2008) and the Annex XV Transitional Dossier on CTPHT (NL, 2008)</w:t>
      </w:r>
      <w:r w:rsidR="00C9763C">
        <w:t xml:space="preserve"> have been considered</w:t>
      </w:r>
      <w:r w:rsidR="00C9763C" w:rsidRPr="004A7F1F">
        <w:t xml:space="preserve">. </w:t>
      </w:r>
      <w:r w:rsidR="00C9763C">
        <w:t xml:space="preserve">The information </w:t>
      </w:r>
      <w:r w:rsidR="00B80F25">
        <w:t>summari</w:t>
      </w:r>
      <w:r w:rsidR="00D657A5">
        <w:t>s</w:t>
      </w:r>
      <w:r w:rsidR="00B80F25">
        <w:t xml:space="preserve">ed in these documents </w:t>
      </w:r>
      <w:r w:rsidR="006925B3">
        <w:t>is</w:t>
      </w:r>
      <w:r w:rsidR="00B80F25">
        <w:t xml:space="preserve"> still valid and allow</w:t>
      </w:r>
      <w:r w:rsidR="006925B3">
        <w:t>s</w:t>
      </w:r>
      <w:r w:rsidR="00B80F25">
        <w:t xml:space="preserve"> a </w:t>
      </w:r>
      <w:r w:rsidR="00C9763C">
        <w:t>compact assessment of the substance properties with a focus on PBT/</w:t>
      </w:r>
      <w:proofErr w:type="spellStart"/>
      <w:r w:rsidR="00C9763C">
        <w:t>vPvB</w:t>
      </w:r>
      <w:proofErr w:type="spellEnd"/>
      <w:r w:rsidR="00C9763C">
        <w:t>.</w:t>
      </w:r>
    </w:p>
    <w:p w14:paraId="115C5CB3" w14:textId="52D7DE4E" w:rsidR="00917B86" w:rsidRPr="004A7F1F" w:rsidRDefault="00917B86" w:rsidP="00917B86"/>
    <w:p w14:paraId="15557433" w14:textId="77777777" w:rsidR="00F23E2D" w:rsidRPr="003E39C1" w:rsidRDefault="00F23E2D" w:rsidP="00917B86"/>
    <w:p w14:paraId="115C5CB4" w14:textId="77777777" w:rsidR="00775002" w:rsidRPr="00212DCD" w:rsidRDefault="009A5369" w:rsidP="00E44388">
      <w:pPr>
        <w:pStyle w:val="Heading4"/>
        <w:numPr>
          <w:ilvl w:val="0"/>
          <w:numId w:val="0"/>
        </w:numPr>
        <w:ind w:left="284" w:hanging="142"/>
      </w:pPr>
      <w:bookmarkStart w:id="651" w:name="_Toc357083721"/>
      <w:r w:rsidRPr="00212DCD">
        <w:t xml:space="preserve">6.2.1.1 </w:t>
      </w:r>
      <w:r w:rsidR="00B12C39" w:rsidRPr="00212DCD">
        <w:t>Persistence</w:t>
      </w:r>
      <w:bookmarkStart w:id="652" w:name="_Toc341888614"/>
      <w:bookmarkStart w:id="653" w:name="_Toc342400474"/>
      <w:bookmarkEnd w:id="649"/>
      <w:bookmarkEnd w:id="650"/>
      <w:bookmarkEnd w:id="651"/>
    </w:p>
    <w:p w14:paraId="7A6553FC" w14:textId="02606D34" w:rsidR="0043167A" w:rsidRPr="006D21A3" w:rsidRDefault="00343408" w:rsidP="00EE622A">
      <w:pPr>
        <w:pStyle w:val="BodyText"/>
        <w:jc w:val="both"/>
      </w:pPr>
      <w:r w:rsidRPr="006D360C">
        <w:t>CHR</w:t>
      </w:r>
      <w:r w:rsidR="0043167A" w:rsidRPr="006D21A3">
        <w:t xml:space="preserve"> has a low water solubility and shows a high tendency to adsorb to particles and organic matter in the environment. The resulting low bioavailability is one of the limiting factors of its biodegradation.</w:t>
      </w:r>
    </w:p>
    <w:p w14:paraId="29144CD2" w14:textId="3BDC3E0B" w:rsidR="00612803" w:rsidRPr="004A7F1F" w:rsidRDefault="009F6F12" w:rsidP="00EE622A">
      <w:pPr>
        <w:pStyle w:val="BodyText"/>
        <w:jc w:val="both"/>
      </w:pPr>
      <w:r w:rsidRPr="005B3405">
        <w:t>A dissipation half-life of more than 8.1 years was measured in the filed study (Wild et al., 1991). The study by Wild et al. (1991)</w:t>
      </w:r>
      <w:r w:rsidRPr="004A7F1F">
        <w:t xml:space="preserve"> was selected as the study </w:t>
      </w:r>
      <w:r w:rsidR="00ED70DD" w:rsidRPr="004A7F1F">
        <w:t xml:space="preserve">having highest weight </w:t>
      </w:r>
      <w:r w:rsidRPr="004A7F1F">
        <w:t xml:space="preserve">for the P assessment. Additionally, the </w:t>
      </w:r>
      <w:r w:rsidR="006074FB" w:rsidRPr="004A7F1F">
        <w:t>study by Wild et al. (1993</w:t>
      </w:r>
      <w:r w:rsidR="00612803" w:rsidRPr="004A7F1F">
        <w:t xml:space="preserve">) reports a half-life </w:t>
      </w:r>
      <w:r w:rsidR="00B333F4" w:rsidRPr="004A7F1F">
        <w:t xml:space="preserve">values </w:t>
      </w:r>
      <w:r w:rsidR="00612803" w:rsidRPr="004A7F1F">
        <w:t xml:space="preserve">of </w:t>
      </w:r>
      <w:r w:rsidR="00343408" w:rsidRPr="004A7F1F">
        <w:t xml:space="preserve">CHR </w:t>
      </w:r>
      <w:r w:rsidR="00612803" w:rsidRPr="004A7F1F">
        <w:t xml:space="preserve">in soil </w:t>
      </w:r>
      <w:r w:rsidR="00144165" w:rsidRPr="004A7F1F">
        <w:t>between</w:t>
      </w:r>
      <w:r w:rsidR="00612803" w:rsidRPr="004A7F1F">
        <w:t xml:space="preserve"> 10</w:t>
      </w:r>
      <w:r w:rsidR="00B333F4" w:rsidRPr="004A7F1F">
        <w:t xml:space="preserve">6 to </w:t>
      </w:r>
      <w:r w:rsidR="006074FB" w:rsidRPr="004A7F1F">
        <w:t>313</w:t>
      </w:r>
      <w:r w:rsidR="00B333F4" w:rsidRPr="004A7F1F">
        <w:t xml:space="preserve"> days and is therefore above the P and </w:t>
      </w:r>
      <w:proofErr w:type="spellStart"/>
      <w:proofErr w:type="gramStart"/>
      <w:r w:rsidR="00B333F4" w:rsidRPr="004A7F1F">
        <w:t>vP</w:t>
      </w:r>
      <w:proofErr w:type="spellEnd"/>
      <w:proofErr w:type="gramEnd"/>
      <w:r w:rsidR="00B333F4" w:rsidRPr="004A7F1F">
        <w:t xml:space="preserve"> criteria set in Annex XIII</w:t>
      </w:r>
      <w:r w:rsidRPr="004A7F1F">
        <w:t>. Furthermore, m</w:t>
      </w:r>
      <w:r w:rsidR="00B333F4" w:rsidRPr="004A7F1F">
        <w:t xml:space="preserve">odel calculations done by Mackay et al. (1992) do confirm that </w:t>
      </w:r>
      <w:r w:rsidR="00725759" w:rsidRPr="004A7F1F">
        <w:t>CHR</w:t>
      </w:r>
      <w:r w:rsidR="00B333F4" w:rsidRPr="004A7F1F">
        <w:t xml:space="preserve"> is very persistent in the compartment soil</w:t>
      </w:r>
      <w:r w:rsidR="006074FB" w:rsidRPr="004A7F1F">
        <w:t xml:space="preserve"> and </w:t>
      </w:r>
      <w:r w:rsidR="00ED70DD" w:rsidRPr="004A7F1F">
        <w:t xml:space="preserve">predicted </w:t>
      </w:r>
      <w:r w:rsidR="006074FB" w:rsidRPr="004A7F1F">
        <w:t xml:space="preserve">that P and </w:t>
      </w:r>
      <w:proofErr w:type="spellStart"/>
      <w:proofErr w:type="gramStart"/>
      <w:r w:rsidR="006074FB" w:rsidRPr="004A7F1F">
        <w:t>vP</w:t>
      </w:r>
      <w:proofErr w:type="spellEnd"/>
      <w:proofErr w:type="gramEnd"/>
      <w:r w:rsidR="006074FB" w:rsidRPr="004A7F1F">
        <w:t xml:space="preserve"> criteria are fulfilled for the compartments water and sediment</w:t>
      </w:r>
      <w:r w:rsidR="00B333F4" w:rsidRPr="004A7F1F">
        <w:t xml:space="preserve">. </w:t>
      </w:r>
    </w:p>
    <w:p w14:paraId="44CA1219" w14:textId="196D72CD" w:rsidR="00D02D83" w:rsidRPr="004A7F1F" w:rsidRDefault="009F6F12" w:rsidP="00EE622A">
      <w:pPr>
        <w:pStyle w:val="BodyText"/>
        <w:jc w:val="both"/>
      </w:pPr>
      <w:r w:rsidRPr="004A7F1F">
        <w:rPr>
          <w:rFonts w:cs="Courier New"/>
        </w:rPr>
        <w:t xml:space="preserve">Therefore it is concluded that </w:t>
      </w:r>
      <w:r w:rsidR="00725759" w:rsidRPr="004A7F1F">
        <w:rPr>
          <w:rFonts w:cs="Courier New"/>
        </w:rPr>
        <w:t xml:space="preserve">CHR fulfils the P and </w:t>
      </w:r>
      <w:proofErr w:type="spellStart"/>
      <w:proofErr w:type="gramStart"/>
      <w:r w:rsidR="00725759" w:rsidRPr="004A7F1F">
        <w:rPr>
          <w:rFonts w:cs="Courier New"/>
        </w:rPr>
        <w:t>vP</w:t>
      </w:r>
      <w:proofErr w:type="spellEnd"/>
      <w:proofErr w:type="gramEnd"/>
      <w:r w:rsidR="00725759" w:rsidRPr="004A7F1F">
        <w:rPr>
          <w:rFonts w:cs="Courier New"/>
        </w:rPr>
        <w:t xml:space="preserve"> criteria </w:t>
      </w:r>
      <w:r w:rsidRPr="004A7F1F">
        <w:rPr>
          <w:rFonts w:cs="Courier New"/>
        </w:rPr>
        <w:t xml:space="preserve">according to </w:t>
      </w:r>
      <w:r w:rsidR="00ED70DD" w:rsidRPr="004A7F1F">
        <w:rPr>
          <w:rFonts w:cs="Courier New"/>
        </w:rPr>
        <w:t xml:space="preserve">REACH </w:t>
      </w:r>
      <w:r w:rsidRPr="004A7F1F">
        <w:rPr>
          <w:rFonts w:cs="Courier New"/>
        </w:rPr>
        <w:t xml:space="preserve">Annex XIII. This conclusion </w:t>
      </w:r>
      <w:r w:rsidR="000A6EC2" w:rsidRPr="004A7F1F">
        <w:rPr>
          <w:rFonts w:cs="Courier New"/>
        </w:rPr>
        <w:t>was already drawn by the MSC in the context of the identification of CTPHT as SVHC (ECHA, 2009).</w:t>
      </w:r>
      <w:r w:rsidR="00800DD9" w:rsidRPr="004A7F1F">
        <w:t xml:space="preserve"> </w:t>
      </w:r>
    </w:p>
    <w:p w14:paraId="115C5CB5" w14:textId="77777777" w:rsidR="00775002" w:rsidRPr="004A7F1F" w:rsidRDefault="009A5369" w:rsidP="00E44388">
      <w:pPr>
        <w:pStyle w:val="Heading4"/>
        <w:numPr>
          <w:ilvl w:val="0"/>
          <w:numId w:val="0"/>
        </w:numPr>
        <w:ind w:left="284" w:hanging="142"/>
      </w:pPr>
      <w:bookmarkStart w:id="654" w:name="_Toc357083722"/>
      <w:r w:rsidRPr="004A7F1F">
        <w:t xml:space="preserve">6.2.1.2 </w:t>
      </w:r>
      <w:r w:rsidR="00B12C39" w:rsidRPr="004A7F1F">
        <w:t>Bioaccumulation</w:t>
      </w:r>
      <w:bookmarkStart w:id="655" w:name="_Toc341888615"/>
      <w:bookmarkStart w:id="656" w:name="_Toc342400475"/>
      <w:bookmarkEnd w:id="652"/>
      <w:bookmarkEnd w:id="653"/>
      <w:bookmarkEnd w:id="654"/>
    </w:p>
    <w:p w14:paraId="6123F7B8" w14:textId="77D25D91" w:rsidR="00395851" w:rsidRDefault="00121112" w:rsidP="003B3C62">
      <w:pPr>
        <w:pStyle w:val="BodyText"/>
        <w:rPr>
          <w:rFonts w:cs="Courier New"/>
        </w:rPr>
      </w:pPr>
      <w:r>
        <w:t>An e</w:t>
      </w:r>
      <w:r w:rsidR="00660BA2" w:rsidRPr="004A7F1F">
        <w:t xml:space="preserve">xperimentally obtained BCF value above 5000 </w:t>
      </w:r>
      <w:r>
        <w:t>is</w:t>
      </w:r>
      <w:r w:rsidR="00660BA2" w:rsidRPr="004A7F1F">
        <w:t xml:space="preserve"> reported for </w:t>
      </w:r>
      <w:r w:rsidR="00725759" w:rsidRPr="004A7F1F">
        <w:t>CHR</w:t>
      </w:r>
      <w:r w:rsidR="00660BA2" w:rsidRPr="004A7F1F">
        <w:t xml:space="preserve"> in </w:t>
      </w:r>
      <w:r w:rsidR="00725759" w:rsidRPr="004A7F1F">
        <w:t xml:space="preserve">aquatic </w:t>
      </w:r>
      <w:r w:rsidR="00660BA2" w:rsidRPr="004A7F1F">
        <w:t xml:space="preserve">Crustacea. </w:t>
      </w:r>
      <w:r w:rsidR="00627609" w:rsidRPr="004A7F1F">
        <w:t>In accordance to</w:t>
      </w:r>
      <w:r w:rsidR="00ED70DD" w:rsidRPr="004A7F1F">
        <w:t xml:space="preserve"> REACH</w:t>
      </w:r>
      <w:r w:rsidR="00627609" w:rsidRPr="004A7F1F">
        <w:t xml:space="preserve"> Annex XIII, </w:t>
      </w:r>
      <w:r w:rsidR="00403218" w:rsidRPr="004A7F1F">
        <w:t>CHR</w:t>
      </w:r>
      <w:r w:rsidR="00627609" w:rsidRPr="004A7F1F">
        <w:t xml:space="preserve"> fulfils the B and </w:t>
      </w:r>
      <w:proofErr w:type="spellStart"/>
      <w:r w:rsidR="00627609" w:rsidRPr="004A7F1F">
        <w:t>vB</w:t>
      </w:r>
      <w:proofErr w:type="spellEnd"/>
      <w:r w:rsidR="00627609" w:rsidRPr="004A7F1F">
        <w:t xml:space="preserve"> criteria. </w:t>
      </w:r>
      <w:r w:rsidR="000A6EC2" w:rsidRPr="004A7F1F">
        <w:rPr>
          <w:rFonts w:cs="Courier New"/>
        </w:rPr>
        <w:t>This conclusion was already drawn by the MSC in the context of the identification of CTPHT as SVHC (ECHA, 2009).</w:t>
      </w:r>
    </w:p>
    <w:p w14:paraId="64C9FA01" w14:textId="77777777" w:rsidR="00EE622A" w:rsidRPr="004A7F1F" w:rsidRDefault="00EE622A" w:rsidP="003B3C62">
      <w:pPr>
        <w:pStyle w:val="BodyText"/>
      </w:pPr>
    </w:p>
    <w:p w14:paraId="115C5CB6" w14:textId="77777777" w:rsidR="00B12C39" w:rsidRPr="004A7F1F" w:rsidRDefault="009A5369" w:rsidP="00E44388">
      <w:pPr>
        <w:pStyle w:val="Heading4"/>
        <w:numPr>
          <w:ilvl w:val="0"/>
          <w:numId w:val="0"/>
        </w:numPr>
        <w:ind w:left="284" w:hanging="142"/>
      </w:pPr>
      <w:bookmarkStart w:id="657" w:name="_Toc357083723"/>
      <w:r w:rsidRPr="004A7F1F">
        <w:lastRenderedPageBreak/>
        <w:t xml:space="preserve">6.2.1.3 </w:t>
      </w:r>
      <w:r w:rsidR="00B12C39" w:rsidRPr="004A7F1F">
        <w:t>Toxicity</w:t>
      </w:r>
      <w:bookmarkEnd w:id="655"/>
      <w:bookmarkEnd w:id="656"/>
      <w:bookmarkEnd w:id="657"/>
    </w:p>
    <w:p w14:paraId="115C5CB7" w14:textId="76D143B3" w:rsidR="00FB1D0A" w:rsidRPr="004A7F1F" w:rsidRDefault="000D00DB" w:rsidP="00FB1D0A">
      <w:pPr>
        <w:pStyle w:val="BodyText"/>
        <w:rPr>
          <w:szCs w:val="24"/>
          <w:lang w:eastAsia="en-US"/>
        </w:rPr>
      </w:pPr>
      <w:r w:rsidRPr="004A7F1F">
        <w:t xml:space="preserve">CHR is </w:t>
      </w:r>
      <w:r w:rsidRPr="004A7F1F">
        <w:rPr>
          <w:szCs w:val="24"/>
          <w:lang w:eastAsia="en-US"/>
        </w:rPr>
        <w:t>classified in</w:t>
      </w:r>
      <w:r w:rsidRPr="004A7F1F">
        <w:t xml:space="preserve"> the hazard class </w:t>
      </w:r>
      <w:r w:rsidRPr="004A7F1F">
        <w:rPr>
          <w:szCs w:val="24"/>
          <w:lang w:eastAsia="en-US"/>
        </w:rPr>
        <w:t xml:space="preserve">carcinogenicity </w:t>
      </w:r>
      <w:r w:rsidRPr="004A7F1F">
        <w:t xml:space="preserve">category </w:t>
      </w:r>
      <w:r w:rsidRPr="004A7F1F">
        <w:rPr>
          <w:szCs w:val="24"/>
          <w:lang w:eastAsia="en-US"/>
        </w:rPr>
        <w:t xml:space="preserve">1B according to EU Regulation 1272/2008. Thus, the T criterion of REACH Annex XIII </w:t>
      </w:r>
      <w:r w:rsidR="00ED70DD" w:rsidRPr="004A7F1F">
        <w:rPr>
          <w:szCs w:val="24"/>
          <w:lang w:eastAsia="en-US"/>
        </w:rPr>
        <w:t xml:space="preserve">section </w:t>
      </w:r>
      <w:r w:rsidRPr="004A7F1F">
        <w:rPr>
          <w:szCs w:val="24"/>
          <w:lang w:eastAsia="en-US"/>
        </w:rPr>
        <w:t>1.1.3 b) is fulfilled.</w:t>
      </w:r>
    </w:p>
    <w:p w14:paraId="742D1262" w14:textId="77777777" w:rsidR="00CE0F83" w:rsidRPr="004A7F1F" w:rsidRDefault="00CE0F83" w:rsidP="00FB1D0A">
      <w:pPr>
        <w:pStyle w:val="BodyText"/>
      </w:pPr>
    </w:p>
    <w:p w14:paraId="115C5CB8" w14:textId="77777777" w:rsidR="00B12C39" w:rsidRPr="004A7F1F" w:rsidRDefault="009A5369" w:rsidP="004F174D">
      <w:pPr>
        <w:pStyle w:val="Heading3"/>
        <w:tabs>
          <w:tab w:val="clear" w:pos="360"/>
          <w:tab w:val="num" w:pos="0"/>
        </w:tabs>
      </w:pPr>
      <w:bookmarkStart w:id="658" w:name="_Toc341888616"/>
      <w:bookmarkStart w:id="659" w:name="_Toc342400476"/>
      <w:bookmarkStart w:id="660" w:name="_Toc354499646"/>
      <w:bookmarkStart w:id="661" w:name="_Toc357083724"/>
      <w:bookmarkStart w:id="662" w:name="_Toc357184270"/>
      <w:bookmarkStart w:id="663" w:name="_Toc357184506"/>
      <w:bookmarkStart w:id="664" w:name="_Toc357185308"/>
      <w:bookmarkStart w:id="665" w:name="_Toc357186156"/>
      <w:bookmarkStart w:id="666" w:name="_Toc357186305"/>
      <w:bookmarkStart w:id="667" w:name="_Toc357437591"/>
      <w:bookmarkStart w:id="668" w:name="_Toc357590864"/>
      <w:bookmarkStart w:id="669" w:name="_Toc357692896"/>
      <w:bookmarkStart w:id="670" w:name="_Toc365649722"/>
      <w:bookmarkStart w:id="671" w:name="_Toc365649871"/>
      <w:bookmarkStart w:id="672" w:name="_Toc366489923"/>
      <w:bookmarkStart w:id="673" w:name="_Toc418498627"/>
      <w:bookmarkStart w:id="674" w:name="_Toc418506082"/>
      <w:bookmarkStart w:id="675" w:name="_Toc491868919"/>
      <w:r w:rsidRPr="004A7F1F">
        <w:t xml:space="preserve">6.2.2 </w:t>
      </w:r>
      <w:r w:rsidR="00B12C39" w:rsidRPr="004A7F1F">
        <w:t xml:space="preserve">Summary and overall conclusions on the PBT and </w:t>
      </w:r>
      <w:proofErr w:type="spellStart"/>
      <w:r w:rsidR="00B12C39" w:rsidRPr="004A7F1F">
        <w:t>vPvB</w:t>
      </w:r>
      <w:proofErr w:type="spellEnd"/>
      <w:r w:rsidR="00B12C39" w:rsidRPr="004A7F1F">
        <w:t xml:space="preserve"> properties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14:paraId="2EE76DD8" w14:textId="77777777" w:rsidR="00C24C32" w:rsidRPr="004A7F1F" w:rsidRDefault="00C24C32" w:rsidP="00C24C32">
      <w:pPr>
        <w:widowControl/>
        <w:autoSpaceDE w:val="0"/>
        <w:autoSpaceDN w:val="0"/>
        <w:adjustRightInd w:val="0"/>
        <w:jc w:val="both"/>
        <w:rPr>
          <w:rFonts w:cs="Verdana"/>
          <w:u w:val="single"/>
          <w:lang w:eastAsia="en-GB"/>
        </w:rPr>
      </w:pPr>
      <w:r w:rsidRPr="004A7F1F">
        <w:rPr>
          <w:rFonts w:cs="Verdana"/>
          <w:u w:val="single"/>
          <w:lang w:eastAsia="en-GB"/>
        </w:rPr>
        <w:t>Art 57 (d) and (e):</w:t>
      </w:r>
    </w:p>
    <w:p w14:paraId="7F6DB0EF" w14:textId="77777777" w:rsidR="00C24C32" w:rsidRPr="004A7F1F" w:rsidRDefault="00C24C32" w:rsidP="00C24C32">
      <w:pPr>
        <w:jc w:val="both"/>
        <w:rPr>
          <w:rFonts w:cs="Verdana"/>
          <w:i/>
          <w:lang w:eastAsia="en-GB"/>
        </w:rPr>
      </w:pPr>
    </w:p>
    <w:p w14:paraId="2E29CD3E" w14:textId="77777777" w:rsidR="00C24C32" w:rsidRPr="004A7F1F" w:rsidRDefault="00C24C32" w:rsidP="00EE622A">
      <w:pPr>
        <w:jc w:val="both"/>
      </w:pPr>
      <w:r w:rsidRPr="004A7F1F">
        <w:t>An assessment of the PBT/</w:t>
      </w:r>
      <w:proofErr w:type="spellStart"/>
      <w:r w:rsidRPr="004A7F1F">
        <w:t>vPvB</w:t>
      </w:r>
      <w:proofErr w:type="spellEnd"/>
      <w:r w:rsidRPr="004A7F1F">
        <w:t xml:space="preserve"> properties of CHR has already been carried out by the MSC in the context of the identification of CTPHT as SVHC, as documented in the MSC Support Document for identification of CTPHT as SVHC (ECHA, 2009).  </w:t>
      </w:r>
      <w:r>
        <w:t>A</w:t>
      </w:r>
      <w:r w:rsidRPr="004A7F1F">
        <w:t xml:space="preserve">dditional information was assessed earlier in the EU Risk Assessment Report on CTPHT (European Commission, 2008) and the Annex XV Transitional Dossier on CTPHT (NL, 2008). Both reports support the conclusions on the PBT and </w:t>
      </w:r>
      <w:proofErr w:type="spellStart"/>
      <w:r w:rsidRPr="004A7F1F">
        <w:t>vPvB</w:t>
      </w:r>
      <w:proofErr w:type="spellEnd"/>
      <w:r w:rsidRPr="004A7F1F">
        <w:t xml:space="preserve"> properties of CHR already drawn in the MSC Support Document on CTPHT.</w:t>
      </w:r>
      <w:r w:rsidRPr="00F17DF3">
        <w:t xml:space="preserve"> </w:t>
      </w:r>
      <w:r>
        <w:t>The information leading to the identification of CTPHT as SVHC are is still valid and allow compact assessment of the substance properties with a focus on PBT/</w:t>
      </w:r>
      <w:proofErr w:type="spellStart"/>
      <w:r>
        <w:t>vPvB</w:t>
      </w:r>
      <w:proofErr w:type="spellEnd"/>
      <w:r>
        <w:t>.</w:t>
      </w:r>
    </w:p>
    <w:p w14:paraId="14B3864A" w14:textId="77777777" w:rsidR="00C24C32" w:rsidRPr="003E39C1" w:rsidRDefault="00C24C32" w:rsidP="00EE622A">
      <w:pPr>
        <w:jc w:val="both"/>
      </w:pPr>
    </w:p>
    <w:p w14:paraId="4633724A" w14:textId="77777777" w:rsidR="00C24C32" w:rsidRPr="00212DCD" w:rsidRDefault="00C24C32" w:rsidP="00EE622A">
      <w:pPr>
        <w:jc w:val="both"/>
        <w:rPr>
          <w:rFonts w:cs="Verdana"/>
          <w:u w:val="single"/>
          <w:lang w:val="en-US" w:eastAsia="en-GB"/>
        </w:rPr>
      </w:pPr>
      <w:r w:rsidRPr="00212DCD">
        <w:rPr>
          <w:rFonts w:cs="Verdana"/>
          <w:u w:val="single"/>
          <w:lang w:val="en-US" w:eastAsia="en-GB"/>
        </w:rPr>
        <w:t>Persistence</w:t>
      </w:r>
    </w:p>
    <w:p w14:paraId="3EB45D92" w14:textId="77777777" w:rsidR="00C24C32" w:rsidRPr="001A0B5A" w:rsidRDefault="00C24C32" w:rsidP="00EE622A">
      <w:pPr>
        <w:jc w:val="both"/>
      </w:pPr>
      <w:r w:rsidRPr="006D360C">
        <w:t xml:space="preserve">Based on the available information from </w:t>
      </w:r>
      <w:r>
        <w:t>experimental and estimated data</w:t>
      </w:r>
      <w:r w:rsidRPr="006D360C">
        <w:t>, CHR degrades very slowly in soil with half-lives of &gt; 1</w:t>
      </w:r>
      <w:r w:rsidRPr="001A0B5A">
        <w:t xml:space="preserve">80 d. Thus, the P and the </w:t>
      </w:r>
      <w:proofErr w:type="spellStart"/>
      <w:proofErr w:type="gramStart"/>
      <w:r w:rsidRPr="001A0B5A">
        <w:t>vP</w:t>
      </w:r>
      <w:proofErr w:type="spellEnd"/>
      <w:proofErr w:type="gramEnd"/>
      <w:r w:rsidRPr="001A0B5A">
        <w:t xml:space="preserve"> criteria of REACH Annex XIII are fulfilled.</w:t>
      </w:r>
    </w:p>
    <w:p w14:paraId="287677F7" w14:textId="77777777" w:rsidR="00C24C32" w:rsidRPr="004A7F1F" w:rsidRDefault="00C24C32" w:rsidP="00EE622A">
      <w:pPr>
        <w:jc w:val="both"/>
        <w:rPr>
          <w:rFonts w:cs="Verdana"/>
          <w:u w:val="single"/>
          <w:lang w:val="en-US" w:eastAsia="en-GB"/>
        </w:rPr>
      </w:pPr>
    </w:p>
    <w:p w14:paraId="63E514F9" w14:textId="77777777" w:rsidR="00C24C32" w:rsidRPr="004A7F1F" w:rsidRDefault="00C24C32" w:rsidP="00EE622A">
      <w:pPr>
        <w:jc w:val="both"/>
        <w:rPr>
          <w:rFonts w:cs="Verdana"/>
          <w:u w:val="single"/>
          <w:lang w:val="en-US" w:eastAsia="en-GB"/>
        </w:rPr>
      </w:pPr>
      <w:r w:rsidRPr="004A7F1F">
        <w:rPr>
          <w:rFonts w:cs="Verdana"/>
          <w:u w:val="single"/>
          <w:lang w:val="en-US" w:eastAsia="en-GB"/>
        </w:rPr>
        <w:t>Bioaccumulation</w:t>
      </w:r>
    </w:p>
    <w:p w14:paraId="666270EB" w14:textId="77777777" w:rsidR="00C24C32" w:rsidRPr="006D21A3" w:rsidRDefault="00C24C32" w:rsidP="00EE622A">
      <w:pPr>
        <w:jc w:val="both"/>
      </w:pPr>
      <w:r w:rsidRPr="004A7F1F">
        <w:t xml:space="preserve">The bioaccumulation of CHR in Crustacea were measured and BCFs &gt; 5000 obtained. Thus, the B and the </w:t>
      </w:r>
      <w:proofErr w:type="spellStart"/>
      <w:r w:rsidRPr="004A7F1F">
        <w:t>vB</w:t>
      </w:r>
      <w:proofErr w:type="spellEnd"/>
      <w:r w:rsidRPr="004A7F1F">
        <w:t xml:space="preserve"> criteria of REACH Annex XIII are fulfilled.</w:t>
      </w:r>
    </w:p>
    <w:p w14:paraId="6992C6C1" w14:textId="77777777" w:rsidR="00C24C32" w:rsidRPr="004A7F1F" w:rsidRDefault="00C24C32" w:rsidP="00EE622A">
      <w:pPr>
        <w:jc w:val="both"/>
      </w:pPr>
    </w:p>
    <w:p w14:paraId="3EDFBCB8" w14:textId="77777777" w:rsidR="00C24C32" w:rsidRPr="004A7F1F" w:rsidRDefault="00C24C32" w:rsidP="00EE622A">
      <w:pPr>
        <w:jc w:val="both"/>
        <w:rPr>
          <w:rFonts w:cs="Verdana"/>
          <w:u w:val="single"/>
          <w:lang w:eastAsia="en-GB"/>
        </w:rPr>
      </w:pPr>
      <w:r w:rsidRPr="004A7F1F">
        <w:rPr>
          <w:rFonts w:cs="Verdana"/>
          <w:u w:val="single"/>
          <w:lang w:eastAsia="en-GB"/>
        </w:rPr>
        <w:t>Toxicity (only relevant for PBT substances)</w:t>
      </w:r>
    </w:p>
    <w:p w14:paraId="2857BA2F" w14:textId="77777777" w:rsidR="00C24C32" w:rsidRPr="004A7F1F" w:rsidRDefault="00C24C32" w:rsidP="00EE622A">
      <w:pPr>
        <w:jc w:val="both"/>
      </w:pPr>
      <w:r w:rsidRPr="004A7F1F">
        <w:t xml:space="preserve">CHR is </w:t>
      </w:r>
      <w:r w:rsidRPr="004A7F1F">
        <w:rPr>
          <w:szCs w:val="24"/>
          <w:lang w:eastAsia="en-US"/>
        </w:rPr>
        <w:t>classified in</w:t>
      </w:r>
      <w:r w:rsidRPr="004A7F1F">
        <w:t xml:space="preserve"> the hazard class </w:t>
      </w:r>
      <w:r w:rsidRPr="004A7F1F">
        <w:rPr>
          <w:szCs w:val="24"/>
          <w:lang w:eastAsia="en-US"/>
        </w:rPr>
        <w:t xml:space="preserve">carcinogenicity </w:t>
      </w:r>
      <w:r w:rsidRPr="004A7F1F">
        <w:t xml:space="preserve">category </w:t>
      </w:r>
      <w:r w:rsidRPr="004A7F1F">
        <w:rPr>
          <w:szCs w:val="24"/>
          <w:lang w:eastAsia="en-US"/>
        </w:rPr>
        <w:t>1B according to EU Regulation 1272/2008. Thus, the T criterion of REACH Annex XIII 1.1.3 b) is fulfilled.</w:t>
      </w:r>
    </w:p>
    <w:p w14:paraId="488E60A9" w14:textId="77777777" w:rsidR="00C24C32" w:rsidRPr="004A7F1F" w:rsidRDefault="00C24C32" w:rsidP="00EE622A">
      <w:pPr>
        <w:widowControl/>
        <w:autoSpaceDE w:val="0"/>
        <w:autoSpaceDN w:val="0"/>
        <w:adjustRightInd w:val="0"/>
        <w:jc w:val="both"/>
        <w:rPr>
          <w:lang w:eastAsia="en-US"/>
        </w:rPr>
      </w:pPr>
    </w:p>
    <w:p w14:paraId="565FD313" w14:textId="77777777" w:rsidR="00C24C32" w:rsidRPr="004A7F1F" w:rsidRDefault="00C24C32" w:rsidP="00EE622A">
      <w:pPr>
        <w:widowControl/>
        <w:autoSpaceDE w:val="0"/>
        <w:autoSpaceDN w:val="0"/>
        <w:adjustRightInd w:val="0"/>
        <w:jc w:val="both"/>
        <w:rPr>
          <w:lang w:eastAsia="en-US"/>
        </w:rPr>
      </w:pPr>
    </w:p>
    <w:p w14:paraId="353151F3" w14:textId="7843C8BC" w:rsidR="00C24C32" w:rsidRPr="004A7F1F" w:rsidRDefault="00C24C32" w:rsidP="00EE622A">
      <w:pPr>
        <w:jc w:val="both"/>
        <w:rPr>
          <w:rFonts w:cs="Verdana"/>
          <w:u w:val="single"/>
          <w:lang w:eastAsia="en-GB"/>
        </w:rPr>
      </w:pPr>
      <w:r w:rsidRPr="004A7F1F">
        <w:rPr>
          <w:rFonts w:cs="Verdana"/>
          <w:u w:val="single"/>
          <w:lang w:eastAsia="en-GB"/>
        </w:rPr>
        <w:t>Overall</w:t>
      </w:r>
      <w:r w:rsidR="00DE3FA5">
        <w:rPr>
          <w:rFonts w:cs="Verdana"/>
          <w:u w:val="single"/>
          <w:lang w:eastAsia="en-GB"/>
        </w:rPr>
        <w:t xml:space="preserve"> </w:t>
      </w:r>
      <w:r w:rsidRPr="004A7F1F">
        <w:rPr>
          <w:rFonts w:cs="Verdana"/>
          <w:u w:val="single"/>
          <w:lang w:eastAsia="en-GB"/>
        </w:rPr>
        <w:t>conclusion</w:t>
      </w:r>
    </w:p>
    <w:p w14:paraId="4021AD25" w14:textId="5B78DE2A" w:rsidR="00C24C32" w:rsidRPr="00165A4D" w:rsidRDefault="00C24C32" w:rsidP="00EE622A">
      <w:pPr>
        <w:widowControl/>
        <w:autoSpaceDE w:val="0"/>
        <w:autoSpaceDN w:val="0"/>
        <w:adjustRightInd w:val="0"/>
        <w:jc w:val="both"/>
        <w:rPr>
          <w:rFonts w:cs="Verdana"/>
          <w:lang w:eastAsia="en-GB"/>
        </w:rPr>
      </w:pPr>
      <w:r w:rsidRPr="004A7F1F">
        <w:rPr>
          <w:lang w:eastAsia="en-US"/>
        </w:rPr>
        <w:t xml:space="preserve">In conclusion, </w:t>
      </w:r>
      <w:r w:rsidRPr="004A7F1F">
        <w:rPr>
          <w:szCs w:val="24"/>
          <w:lang w:eastAsia="en-US"/>
        </w:rPr>
        <w:t xml:space="preserve">chrysene </w:t>
      </w:r>
      <w:r w:rsidRPr="004A7F1F">
        <w:rPr>
          <w:lang w:eastAsia="en-US"/>
        </w:rPr>
        <w:t>meets the criteria for a</w:t>
      </w:r>
      <w:r w:rsidRPr="004A7F1F">
        <w:rPr>
          <w:i/>
          <w:lang w:eastAsia="en-US"/>
        </w:rPr>
        <w:t xml:space="preserve"> </w:t>
      </w:r>
      <w:r w:rsidRPr="004A7F1F">
        <w:rPr>
          <w:lang w:eastAsia="en-US"/>
        </w:rPr>
        <w:t xml:space="preserve">PBT and </w:t>
      </w:r>
      <w:proofErr w:type="spellStart"/>
      <w:r w:rsidRPr="004A7F1F">
        <w:rPr>
          <w:lang w:eastAsia="en-US"/>
        </w:rPr>
        <w:t>vPvB</w:t>
      </w:r>
      <w:proofErr w:type="spellEnd"/>
      <w:r w:rsidRPr="004A7F1F">
        <w:rPr>
          <w:i/>
          <w:lang w:eastAsia="en-US"/>
        </w:rPr>
        <w:t xml:space="preserve"> </w:t>
      </w:r>
      <w:r w:rsidRPr="004A7F1F">
        <w:rPr>
          <w:lang w:eastAsia="en-US"/>
        </w:rPr>
        <w:t>substance according to Article 57 (d) and (e)</w:t>
      </w:r>
      <w:r w:rsidRPr="004A7F1F">
        <w:rPr>
          <w:i/>
          <w:lang w:eastAsia="en-US"/>
        </w:rPr>
        <w:t xml:space="preserve"> </w:t>
      </w:r>
      <w:r w:rsidRPr="004A7F1F">
        <w:rPr>
          <w:lang w:eastAsia="en-US"/>
        </w:rPr>
        <w:t>REACH</w:t>
      </w:r>
      <w:r w:rsidR="00DE3FA5">
        <w:rPr>
          <w:lang w:eastAsia="en-US"/>
        </w:rPr>
        <w:t xml:space="preserve"> </w:t>
      </w:r>
      <w:r>
        <w:rPr>
          <w:lang w:eastAsia="en-US"/>
        </w:rPr>
        <w:t xml:space="preserve">based on weight-of-evidence determination </w:t>
      </w:r>
      <w:r w:rsidRPr="004A7F1F">
        <w:rPr>
          <w:lang w:eastAsia="en-US"/>
        </w:rPr>
        <w:t>and the criteria for carcinogenicity to Article 57 (a)</w:t>
      </w:r>
      <w:r w:rsidRPr="00CB4EB5">
        <w:rPr>
          <w:i/>
          <w:lang w:eastAsia="en-US"/>
        </w:rPr>
        <w:t>.</w:t>
      </w:r>
      <w:r w:rsidRPr="00CB4EB5">
        <w:t xml:space="preserve"> </w:t>
      </w:r>
    </w:p>
    <w:p w14:paraId="115C5CEA" w14:textId="77777777" w:rsidR="00B12C39" w:rsidRPr="00DC41FB" w:rsidRDefault="00B12C39" w:rsidP="008F3F84">
      <w:pPr>
        <w:pStyle w:val="BulletedList1-usermanual"/>
        <w:numPr>
          <w:ilvl w:val="0"/>
          <w:numId w:val="0"/>
        </w:numPr>
      </w:pPr>
    </w:p>
    <w:p w14:paraId="115C5CFF" w14:textId="28F7C1F8" w:rsidR="007668BC" w:rsidRPr="003E39C1" w:rsidRDefault="00B12C39" w:rsidP="00364C57">
      <w:pPr>
        <w:pStyle w:val="Title"/>
        <w:numPr>
          <w:ilvl w:val="0"/>
          <w:numId w:val="0"/>
        </w:numPr>
        <w:jc w:val="center"/>
        <w:rPr>
          <w:sz w:val="32"/>
        </w:rPr>
      </w:pPr>
      <w:r w:rsidRPr="00DC41FB">
        <w:br w:type="page"/>
      </w:r>
      <w:bookmarkStart w:id="676" w:name="_Toc316637392"/>
      <w:bookmarkStart w:id="677" w:name="_Toc341888619"/>
      <w:bookmarkStart w:id="678" w:name="_Toc342400479"/>
      <w:bookmarkStart w:id="679" w:name="_Toc357184272"/>
      <w:bookmarkStart w:id="680" w:name="_Toc357184508"/>
      <w:bookmarkStart w:id="681" w:name="_Toc357185310"/>
      <w:bookmarkStart w:id="682" w:name="_Toc357186158"/>
      <w:bookmarkStart w:id="683" w:name="_Toc357186307"/>
      <w:bookmarkStart w:id="684" w:name="_Toc357437596"/>
      <w:bookmarkStart w:id="685" w:name="_Toc357590869"/>
      <w:bookmarkStart w:id="686" w:name="_Toc357692901"/>
      <w:bookmarkStart w:id="687" w:name="_Toc365649727"/>
      <w:bookmarkStart w:id="688" w:name="_Toc365649876"/>
      <w:bookmarkStart w:id="689" w:name="_Toc366489928"/>
      <w:bookmarkStart w:id="690" w:name="_Toc418498632"/>
      <w:bookmarkStart w:id="691" w:name="_Toc418506087"/>
      <w:bookmarkStart w:id="692" w:name="_Toc491868920"/>
      <w:r w:rsidRPr="004A7F1F">
        <w:rPr>
          <w:sz w:val="32"/>
        </w:rPr>
        <w:lastRenderedPageBreak/>
        <w:t>Part II</w:t>
      </w:r>
      <w:bookmarkStart w:id="693" w:name="_Toc316637393"/>
      <w:bookmarkStart w:id="694" w:name="_Toc341888620"/>
      <w:bookmarkStart w:id="695" w:name="_Toc342400480"/>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14:paraId="115C5D00" w14:textId="77777777" w:rsidR="00683CE9" w:rsidRPr="00212DCD" w:rsidRDefault="00683CE9" w:rsidP="00683CE9">
      <w:pPr>
        <w:rPr>
          <w:lang w:eastAsia="en-US"/>
        </w:rPr>
      </w:pPr>
    </w:p>
    <w:p w14:paraId="115C5D01" w14:textId="77777777" w:rsidR="0089087B" w:rsidRPr="00212DCD" w:rsidRDefault="0089087B" w:rsidP="0089087B">
      <w:pPr>
        <w:pStyle w:val="Heading1"/>
      </w:pPr>
      <w:bookmarkStart w:id="696" w:name="_Toc422996193"/>
      <w:bookmarkStart w:id="697" w:name="_Toc491868921"/>
      <w:bookmarkEnd w:id="693"/>
      <w:bookmarkEnd w:id="694"/>
      <w:bookmarkEnd w:id="695"/>
      <w:r w:rsidRPr="00212DCD">
        <w:t>Registration and C&amp;L notification status</w:t>
      </w:r>
      <w:bookmarkEnd w:id="696"/>
      <w:bookmarkEnd w:id="697"/>
      <w:r w:rsidRPr="00212DCD">
        <w:t xml:space="preserve"> </w:t>
      </w:r>
    </w:p>
    <w:p w14:paraId="115C5D02" w14:textId="77777777" w:rsidR="0089087B" w:rsidRPr="006D360C" w:rsidRDefault="00B467B2" w:rsidP="00B467B2">
      <w:pPr>
        <w:pStyle w:val="Heading2"/>
        <w:numPr>
          <w:ilvl w:val="1"/>
          <w:numId w:val="19"/>
        </w:numPr>
        <w:tabs>
          <w:tab w:val="clear" w:pos="360"/>
          <w:tab w:val="num" w:pos="284"/>
        </w:tabs>
      </w:pPr>
      <w:bookmarkStart w:id="698" w:name="_Toc422996194"/>
      <w:bookmarkStart w:id="699" w:name="_Toc491868922"/>
      <w:r w:rsidRPr="00212DCD">
        <w:t>R</w:t>
      </w:r>
      <w:r w:rsidR="0089087B" w:rsidRPr="006D360C">
        <w:t>egistration status</w:t>
      </w:r>
      <w:bookmarkEnd w:id="698"/>
      <w:bookmarkEnd w:id="699"/>
      <w:r w:rsidR="0089087B" w:rsidRPr="006D360C">
        <w:t xml:space="preserve"> </w:t>
      </w:r>
    </w:p>
    <w:p w14:paraId="115C5D0C" w14:textId="339D4B2E" w:rsidR="0089087B" w:rsidRPr="004A7F1F" w:rsidRDefault="00E23D3E" w:rsidP="0089087B">
      <w:pPr>
        <w:pStyle w:val="BodyText"/>
        <w:rPr>
          <w:bCs/>
        </w:rPr>
      </w:pPr>
      <w:r w:rsidRPr="004A7F1F">
        <w:rPr>
          <w:bCs/>
        </w:rPr>
        <w:t>CHR</w:t>
      </w:r>
      <w:r w:rsidR="00167BE0" w:rsidRPr="004A7F1F">
        <w:rPr>
          <w:bCs/>
        </w:rPr>
        <w:t xml:space="preserve"> is not produced intentionally and is not </w:t>
      </w:r>
      <w:r w:rsidR="001B420F" w:rsidRPr="004A7F1F">
        <w:rPr>
          <w:bCs/>
        </w:rPr>
        <w:t>registered within the scope of regulation REACH</w:t>
      </w:r>
      <w:r w:rsidR="00167BE0" w:rsidRPr="004A7F1F">
        <w:rPr>
          <w:bCs/>
        </w:rPr>
        <w:t>.</w:t>
      </w:r>
      <w:r w:rsidR="00037EE9" w:rsidRPr="004A7F1F">
        <w:rPr>
          <w:bCs/>
        </w:rPr>
        <w:t xml:space="preserve"> </w:t>
      </w:r>
      <w:r w:rsidR="00167BE0" w:rsidRPr="004A7F1F">
        <w:rPr>
          <w:bCs/>
        </w:rPr>
        <w:t xml:space="preserve"> </w:t>
      </w:r>
    </w:p>
    <w:p w14:paraId="115C5D0D" w14:textId="77777777" w:rsidR="003819B8" w:rsidRPr="004A7F1F" w:rsidRDefault="003819B8" w:rsidP="0053184F">
      <w:pPr>
        <w:pStyle w:val="BodyText"/>
      </w:pPr>
    </w:p>
    <w:p w14:paraId="115C5D0E" w14:textId="77777777" w:rsidR="001340DF" w:rsidRPr="004A7F1F" w:rsidRDefault="001340DF" w:rsidP="001340DF">
      <w:pPr>
        <w:pStyle w:val="Heading2"/>
      </w:pPr>
      <w:bookmarkStart w:id="700" w:name="_Toc422996196"/>
      <w:bookmarkStart w:id="701" w:name="_Toc491868923"/>
      <w:r w:rsidRPr="004A7F1F">
        <w:t>7.</w:t>
      </w:r>
      <w:r w:rsidR="001A3B94" w:rsidRPr="004A7F1F">
        <w:t>2</w:t>
      </w:r>
      <w:r w:rsidRPr="004A7F1F">
        <w:t xml:space="preserve"> CLP notification status</w:t>
      </w:r>
      <w:bookmarkEnd w:id="700"/>
      <w:bookmarkEnd w:id="701"/>
    </w:p>
    <w:p w14:paraId="115C5D0F" w14:textId="345A05A5" w:rsidR="003215DB" w:rsidRPr="004A7F1F" w:rsidRDefault="003215DB" w:rsidP="003215DB">
      <w:pPr>
        <w:pStyle w:val="Caption"/>
        <w:rPr>
          <w:sz w:val="20"/>
          <w:szCs w:val="20"/>
        </w:rPr>
      </w:pPr>
      <w:bookmarkStart w:id="702" w:name="_Toc492027484"/>
      <w:r w:rsidRPr="004A7F1F">
        <w:rPr>
          <w:sz w:val="20"/>
          <w:szCs w:val="20"/>
        </w:rPr>
        <w:t xml:space="preserve">Table </w:t>
      </w:r>
      <w:r w:rsidR="000721AD" w:rsidRPr="00F61FE3">
        <w:rPr>
          <w:sz w:val="20"/>
          <w:szCs w:val="20"/>
        </w:rPr>
        <w:fldChar w:fldCharType="begin"/>
      </w:r>
      <w:r w:rsidRPr="004A7F1F">
        <w:rPr>
          <w:sz w:val="20"/>
          <w:szCs w:val="20"/>
        </w:rPr>
        <w:instrText xml:space="preserve"> SEQ Table \* ARABIC </w:instrText>
      </w:r>
      <w:r w:rsidR="000721AD" w:rsidRPr="00F61FE3">
        <w:rPr>
          <w:sz w:val="20"/>
          <w:szCs w:val="20"/>
        </w:rPr>
        <w:fldChar w:fldCharType="separate"/>
      </w:r>
      <w:r w:rsidR="009D4B0B">
        <w:rPr>
          <w:noProof/>
          <w:sz w:val="20"/>
          <w:szCs w:val="20"/>
        </w:rPr>
        <w:t>5</w:t>
      </w:r>
      <w:r w:rsidR="000721AD" w:rsidRPr="00F61FE3">
        <w:rPr>
          <w:sz w:val="20"/>
          <w:szCs w:val="20"/>
        </w:rPr>
        <w:fldChar w:fldCharType="end"/>
      </w:r>
      <w:r w:rsidRPr="004A7F1F">
        <w:rPr>
          <w:sz w:val="20"/>
          <w:szCs w:val="20"/>
        </w:rPr>
        <w:t>: CLP notifications</w:t>
      </w:r>
      <w:bookmarkEnd w:id="702"/>
    </w:p>
    <w:tbl>
      <w:tblPr>
        <w:tblW w:w="4904" w:type="pct"/>
        <w:tblInd w:w="107" w:type="dxa"/>
        <w:tblLayout w:type="fixed"/>
        <w:tblLook w:val="0000" w:firstRow="0" w:lastRow="0" w:firstColumn="0" w:lastColumn="0" w:noHBand="0" w:noVBand="0"/>
      </w:tblPr>
      <w:tblGrid>
        <w:gridCol w:w="6148"/>
        <w:gridCol w:w="2698"/>
      </w:tblGrid>
      <w:tr w:rsidR="001340DF" w:rsidRPr="004A7F1F" w14:paraId="115C5D12" w14:textId="77777777" w:rsidTr="00550964">
        <w:trPr>
          <w:cantSplit/>
          <w:trHeight w:val="98"/>
        </w:trPr>
        <w:tc>
          <w:tcPr>
            <w:tcW w:w="3475" w:type="pct"/>
            <w:tcBorders>
              <w:top w:val="single" w:sz="2" w:space="0" w:color="auto"/>
              <w:left w:val="single" w:sz="4" w:space="0" w:color="auto"/>
              <w:bottom w:val="single" w:sz="4" w:space="0" w:color="auto"/>
              <w:right w:val="single" w:sz="4" w:space="0" w:color="auto"/>
            </w:tcBorders>
          </w:tcPr>
          <w:p w14:paraId="115C5D10" w14:textId="77777777" w:rsidR="001340DF" w:rsidRPr="004A7F1F" w:rsidRDefault="001340DF" w:rsidP="00550964">
            <w:pPr>
              <w:spacing w:before="60" w:after="60"/>
              <w:jc w:val="center"/>
              <w:rPr>
                <w:b/>
                <w:sz w:val="18"/>
                <w:szCs w:val="16"/>
              </w:rPr>
            </w:pPr>
          </w:p>
        </w:tc>
        <w:tc>
          <w:tcPr>
            <w:tcW w:w="1525" w:type="pct"/>
            <w:tcBorders>
              <w:top w:val="single" w:sz="2" w:space="0" w:color="auto"/>
              <w:left w:val="single" w:sz="4" w:space="0" w:color="auto"/>
              <w:bottom w:val="single" w:sz="4" w:space="0" w:color="auto"/>
              <w:right w:val="single" w:sz="2" w:space="0" w:color="auto"/>
            </w:tcBorders>
          </w:tcPr>
          <w:p w14:paraId="115C5D11" w14:textId="77777777" w:rsidR="001340DF" w:rsidRPr="004A7F1F" w:rsidRDefault="001340DF" w:rsidP="00550964">
            <w:pPr>
              <w:spacing w:before="60" w:after="60"/>
              <w:jc w:val="center"/>
              <w:rPr>
                <w:b/>
                <w:sz w:val="18"/>
                <w:szCs w:val="16"/>
              </w:rPr>
            </w:pPr>
            <w:r w:rsidRPr="004A7F1F">
              <w:rPr>
                <w:b/>
                <w:sz w:val="18"/>
                <w:szCs w:val="16"/>
              </w:rPr>
              <w:t>CLP Notifications</w:t>
            </w:r>
            <w:r w:rsidRPr="004A7F1F">
              <w:rPr>
                <w:rStyle w:val="FootnoteReference"/>
                <w:rFonts w:ascii="Verdana" w:hAnsi="Verdana"/>
                <w:b/>
                <w:sz w:val="18"/>
              </w:rPr>
              <w:footnoteReference w:id="3"/>
            </w:r>
          </w:p>
        </w:tc>
      </w:tr>
      <w:tr w:rsidR="001340DF" w:rsidRPr="004A7F1F" w14:paraId="115C5D15" w14:textId="77777777" w:rsidTr="00550964">
        <w:trPr>
          <w:cantSplit/>
          <w:trHeight w:val="168"/>
        </w:trPr>
        <w:tc>
          <w:tcPr>
            <w:tcW w:w="3475" w:type="pct"/>
            <w:tcBorders>
              <w:top w:val="single" w:sz="2" w:space="0" w:color="auto"/>
              <w:left w:val="single" w:sz="4" w:space="0" w:color="auto"/>
              <w:bottom w:val="single" w:sz="2" w:space="0" w:color="auto"/>
              <w:right w:val="single" w:sz="4" w:space="0" w:color="auto"/>
            </w:tcBorders>
          </w:tcPr>
          <w:p w14:paraId="115C5D13" w14:textId="77777777" w:rsidR="001340DF" w:rsidRPr="004A7F1F" w:rsidRDefault="001340DF" w:rsidP="00550964">
            <w:pPr>
              <w:spacing w:before="60" w:after="60"/>
              <w:ind w:right="-108"/>
              <w:rPr>
                <w:sz w:val="18"/>
                <w:szCs w:val="16"/>
              </w:rPr>
            </w:pPr>
            <w:r w:rsidRPr="004A7F1F">
              <w:rPr>
                <w:sz w:val="18"/>
                <w:szCs w:val="16"/>
              </w:rPr>
              <w:t>Number of aggregated notifications</w:t>
            </w:r>
          </w:p>
        </w:tc>
        <w:tc>
          <w:tcPr>
            <w:tcW w:w="1525" w:type="pct"/>
            <w:tcBorders>
              <w:top w:val="single" w:sz="2" w:space="0" w:color="auto"/>
              <w:left w:val="single" w:sz="4" w:space="0" w:color="auto"/>
              <w:bottom w:val="single" w:sz="2" w:space="0" w:color="auto"/>
              <w:right w:val="single" w:sz="2" w:space="0" w:color="auto"/>
            </w:tcBorders>
          </w:tcPr>
          <w:p w14:paraId="115C5D14" w14:textId="56131553" w:rsidR="001340DF" w:rsidRPr="004A7F1F" w:rsidRDefault="00E904D6" w:rsidP="00550964">
            <w:pPr>
              <w:spacing w:before="60" w:after="60"/>
              <w:jc w:val="center"/>
              <w:rPr>
                <w:sz w:val="18"/>
                <w:szCs w:val="16"/>
              </w:rPr>
            </w:pPr>
            <w:r w:rsidRPr="004A7F1F">
              <w:rPr>
                <w:sz w:val="18"/>
                <w:szCs w:val="16"/>
              </w:rPr>
              <w:t>9</w:t>
            </w:r>
          </w:p>
        </w:tc>
      </w:tr>
      <w:tr w:rsidR="001340DF" w:rsidRPr="004A7F1F" w14:paraId="115C5D18" w14:textId="77777777" w:rsidTr="00550964">
        <w:trPr>
          <w:cantSplit/>
          <w:trHeight w:val="168"/>
        </w:trPr>
        <w:tc>
          <w:tcPr>
            <w:tcW w:w="3475" w:type="pct"/>
            <w:tcBorders>
              <w:top w:val="single" w:sz="2" w:space="0" w:color="auto"/>
              <w:left w:val="single" w:sz="4" w:space="0" w:color="auto"/>
              <w:bottom w:val="single" w:sz="2" w:space="0" w:color="auto"/>
              <w:right w:val="single" w:sz="4" w:space="0" w:color="auto"/>
            </w:tcBorders>
          </w:tcPr>
          <w:p w14:paraId="115C5D16" w14:textId="77777777" w:rsidR="001340DF" w:rsidRPr="004A7F1F" w:rsidRDefault="001340DF" w:rsidP="00550964">
            <w:pPr>
              <w:spacing w:before="60" w:after="60"/>
              <w:ind w:right="-108"/>
              <w:rPr>
                <w:color w:val="000000"/>
                <w:sz w:val="18"/>
                <w:szCs w:val="16"/>
              </w:rPr>
            </w:pPr>
            <w:r w:rsidRPr="004A7F1F">
              <w:rPr>
                <w:sz w:val="18"/>
                <w:szCs w:val="16"/>
              </w:rPr>
              <w:t xml:space="preserve">Total number of </w:t>
            </w:r>
            <w:proofErr w:type="spellStart"/>
            <w:r w:rsidRPr="004A7F1F">
              <w:rPr>
                <w:sz w:val="18"/>
                <w:szCs w:val="16"/>
              </w:rPr>
              <w:t>notifiers</w:t>
            </w:r>
            <w:proofErr w:type="spellEnd"/>
            <w:r w:rsidRPr="004A7F1F">
              <w:rPr>
                <w:sz w:val="18"/>
                <w:szCs w:val="16"/>
              </w:rPr>
              <w:t xml:space="preserve"> </w:t>
            </w:r>
          </w:p>
        </w:tc>
        <w:tc>
          <w:tcPr>
            <w:tcW w:w="1525" w:type="pct"/>
            <w:tcBorders>
              <w:top w:val="single" w:sz="2" w:space="0" w:color="auto"/>
              <w:left w:val="single" w:sz="4" w:space="0" w:color="auto"/>
              <w:bottom w:val="single" w:sz="2" w:space="0" w:color="auto"/>
              <w:right w:val="single" w:sz="2" w:space="0" w:color="auto"/>
            </w:tcBorders>
          </w:tcPr>
          <w:p w14:paraId="115C5D17" w14:textId="3525F735" w:rsidR="001340DF" w:rsidRPr="004A7F1F" w:rsidRDefault="00042836">
            <w:pPr>
              <w:spacing w:before="60" w:after="60"/>
              <w:jc w:val="center"/>
              <w:rPr>
                <w:sz w:val="18"/>
                <w:szCs w:val="16"/>
              </w:rPr>
            </w:pPr>
            <w:r w:rsidRPr="004A7F1F">
              <w:rPr>
                <w:sz w:val="18"/>
                <w:szCs w:val="16"/>
              </w:rPr>
              <w:t>382</w:t>
            </w:r>
          </w:p>
        </w:tc>
      </w:tr>
    </w:tbl>
    <w:p w14:paraId="115C5D1D" w14:textId="77777777" w:rsidR="00683CE9" w:rsidRPr="004A7F1F" w:rsidRDefault="00683CE9" w:rsidP="00554DC9">
      <w:pPr>
        <w:rPr>
          <w:color w:val="0046AD"/>
        </w:rPr>
      </w:pPr>
    </w:p>
    <w:p w14:paraId="115C5D1E" w14:textId="77777777" w:rsidR="00577AFB" w:rsidRPr="004A7F1F" w:rsidRDefault="00577AFB" w:rsidP="00554DC9">
      <w:pPr>
        <w:rPr>
          <w:color w:val="0046AD"/>
        </w:rPr>
      </w:pPr>
    </w:p>
    <w:p w14:paraId="115C5D1F" w14:textId="77777777" w:rsidR="00CD0831" w:rsidRPr="004A7F1F" w:rsidRDefault="00CD0831" w:rsidP="00CD0831">
      <w:pPr>
        <w:pStyle w:val="Heading1"/>
      </w:pPr>
      <w:bookmarkStart w:id="703" w:name="_Toc491868924"/>
      <w:bookmarkStart w:id="704" w:name="_Toc422996197"/>
      <w:r w:rsidRPr="004A7F1F">
        <w:t>Total tonnage of the substance</w:t>
      </w:r>
      <w:bookmarkEnd w:id="703"/>
      <w:r w:rsidRPr="004A7F1F">
        <w:t xml:space="preserve"> </w:t>
      </w:r>
    </w:p>
    <w:p w14:paraId="735D52E4" w14:textId="6A6F886E" w:rsidR="00410351" w:rsidRPr="004A7F1F" w:rsidRDefault="000063A2" w:rsidP="00EE622A">
      <w:pPr>
        <w:pStyle w:val="CommentText"/>
        <w:jc w:val="both"/>
        <w:rPr>
          <w:szCs w:val="24"/>
        </w:rPr>
      </w:pPr>
      <w:r w:rsidRPr="004A7F1F">
        <w:rPr>
          <w:rFonts w:cs="Arial"/>
          <w:szCs w:val="18"/>
        </w:rPr>
        <w:t>CHR</w:t>
      </w:r>
      <w:r w:rsidR="00410351" w:rsidRPr="004A7F1F">
        <w:rPr>
          <w:rFonts w:cs="Arial"/>
          <w:szCs w:val="18"/>
        </w:rPr>
        <w:t xml:space="preserve"> </w:t>
      </w:r>
      <w:r w:rsidR="00D80B5D" w:rsidRPr="004A7F1F">
        <w:rPr>
          <w:rFonts w:cs="Arial"/>
          <w:szCs w:val="18"/>
        </w:rPr>
        <w:t>i</w:t>
      </w:r>
      <w:r w:rsidR="00410351" w:rsidRPr="004A7F1F">
        <w:rPr>
          <w:rFonts w:cs="Arial"/>
          <w:szCs w:val="18"/>
        </w:rPr>
        <w:t>s not produced intentionally and is not registered within the scope of regulation REACH. In general, PAH</w:t>
      </w:r>
      <w:r w:rsidR="00EE0CF7" w:rsidRPr="004A7F1F">
        <w:rPr>
          <w:rFonts w:cs="Arial"/>
          <w:szCs w:val="18"/>
        </w:rPr>
        <w:t>s</w:t>
      </w:r>
      <w:r w:rsidR="00410351" w:rsidRPr="004A7F1F">
        <w:rPr>
          <w:rFonts w:cs="Arial"/>
          <w:szCs w:val="18"/>
        </w:rPr>
        <w:t xml:space="preserve"> occur as constituents in substances from the coal and petroleum stream. </w:t>
      </w:r>
      <w:r w:rsidR="003B2B8A" w:rsidRPr="004A7F1F">
        <w:rPr>
          <w:szCs w:val="24"/>
        </w:rPr>
        <w:t xml:space="preserve">Such substances are mostly Multi-Constituent Substances (MCSs) or Substances of Unknown or Variable composition, Complex reaction products or Biological materials (UVCB substances). UVCB substances and MCSs, containing </w:t>
      </w:r>
      <w:r w:rsidRPr="004A7F1F">
        <w:rPr>
          <w:szCs w:val="24"/>
        </w:rPr>
        <w:t>CHR</w:t>
      </w:r>
      <w:r w:rsidR="003B2B8A" w:rsidRPr="004A7F1F">
        <w:rPr>
          <w:szCs w:val="24"/>
        </w:rPr>
        <w:t xml:space="preserve"> are used in a broad range of </w:t>
      </w:r>
      <w:r w:rsidR="00F657E2" w:rsidRPr="004A7F1F">
        <w:rPr>
          <w:szCs w:val="24"/>
        </w:rPr>
        <w:t>uses</w:t>
      </w:r>
      <w:r w:rsidR="003B2B8A" w:rsidRPr="004A7F1F">
        <w:rPr>
          <w:szCs w:val="24"/>
        </w:rPr>
        <w:t xml:space="preserve">, e.g. production of other chemicals and rubber, </w:t>
      </w:r>
      <w:r w:rsidR="00F657E2" w:rsidRPr="004A7F1F">
        <w:rPr>
          <w:szCs w:val="24"/>
        </w:rPr>
        <w:t>uses in road construction and as lubricants.</w:t>
      </w:r>
      <w:r w:rsidR="00576F40" w:rsidRPr="004A7F1F">
        <w:rPr>
          <w:szCs w:val="24"/>
        </w:rPr>
        <w:t xml:space="preserve"> </w:t>
      </w:r>
    </w:p>
    <w:p w14:paraId="1A792C0C" w14:textId="77777777" w:rsidR="0090193A" w:rsidRPr="004A7F1F" w:rsidRDefault="0090193A" w:rsidP="00EE622A">
      <w:pPr>
        <w:pStyle w:val="CommentText"/>
        <w:jc w:val="both"/>
        <w:rPr>
          <w:szCs w:val="24"/>
        </w:rPr>
      </w:pPr>
    </w:p>
    <w:p w14:paraId="359B84FA" w14:textId="0AA62A38" w:rsidR="0090193A" w:rsidRPr="004A7F1F" w:rsidRDefault="0090193A" w:rsidP="00EE622A">
      <w:pPr>
        <w:pStyle w:val="CommentText"/>
        <w:jc w:val="both"/>
        <w:rPr>
          <w:szCs w:val="24"/>
        </w:rPr>
      </w:pPr>
      <w:r w:rsidRPr="004A7F1F">
        <w:rPr>
          <w:szCs w:val="24"/>
        </w:rPr>
        <w:t xml:space="preserve">Please refer to Annex III for an overview of tonnages of </w:t>
      </w:r>
      <w:r w:rsidR="00F44667" w:rsidRPr="004A7F1F">
        <w:rPr>
          <w:szCs w:val="24"/>
        </w:rPr>
        <w:t>U</w:t>
      </w:r>
      <w:r w:rsidRPr="004A7F1F">
        <w:rPr>
          <w:szCs w:val="24"/>
        </w:rPr>
        <w:t>VCBs which do contain CHR as a constituent.</w:t>
      </w:r>
    </w:p>
    <w:p w14:paraId="4A89D6F2" w14:textId="2B25B277" w:rsidR="00F657E2" w:rsidRPr="004A7F1F" w:rsidRDefault="00F657E2" w:rsidP="00D0549E">
      <w:pPr>
        <w:pStyle w:val="CommentText"/>
        <w:rPr>
          <w:szCs w:val="24"/>
        </w:rPr>
      </w:pPr>
    </w:p>
    <w:p w14:paraId="68F0A7AC" w14:textId="77777777" w:rsidR="00410351" w:rsidRPr="004A7F1F" w:rsidRDefault="00410351" w:rsidP="00D0549E">
      <w:pPr>
        <w:pStyle w:val="CommentText"/>
        <w:rPr>
          <w:rFonts w:cs="Arial"/>
          <w:i/>
          <w:color w:val="002555"/>
          <w:szCs w:val="18"/>
        </w:rPr>
      </w:pPr>
    </w:p>
    <w:p w14:paraId="115C5D22" w14:textId="581CE3AC" w:rsidR="00B71EAA" w:rsidRPr="004A7F1F" w:rsidRDefault="00B71EAA" w:rsidP="003B3C62">
      <w:pPr>
        <w:pStyle w:val="Caption"/>
        <w:ind w:left="0"/>
        <w:rPr>
          <w:b/>
          <w:sz w:val="18"/>
        </w:rPr>
      </w:pPr>
    </w:p>
    <w:p w14:paraId="115C5D30" w14:textId="77777777" w:rsidR="00554DC9" w:rsidRPr="004A7F1F" w:rsidRDefault="00554DC9" w:rsidP="00554DC9">
      <w:pPr>
        <w:pStyle w:val="Heading1"/>
      </w:pPr>
      <w:bookmarkStart w:id="705" w:name="_Toc491868925"/>
      <w:r w:rsidRPr="004A7F1F">
        <w:t>Information on uses of the substance</w:t>
      </w:r>
      <w:bookmarkEnd w:id="704"/>
      <w:bookmarkEnd w:id="705"/>
    </w:p>
    <w:p w14:paraId="115C5D3B" w14:textId="679D07AA" w:rsidR="00B05510" w:rsidRPr="004A7F1F" w:rsidRDefault="005B0315" w:rsidP="0087208F">
      <w:pPr>
        <w:pStyle w:val="NormalItalic"/>
        <w:rPr>
          <w:b/>
          <w:sz w:val="18"/>
        </w:rPr>
      </w:pPr>
      <w:r w:rsidRPr="004A7F1F">
        <w:t xml:space="preserve"> </w:t>
      </w:r>
      <w:r w:rsidR="00291107" w:rsidRPr="004A7F1F">
        <w:rPr>
          <w:i w:val="0"/>
        </w:rPr>
        <w:t xml:space="preserve">There are numerous UVCB substances that contain </w:t>
      </w:r>
      <w:r w:rsidR="001E58D6" w:rsidRPr="004A7F1F">
        <w:rPr>
          <w:i w:val="0"/>
        </w:rPr>
        <w:t>CHR</w:t>
      </w:r>
      <w:r w:rsidR="00291107" w:rsidRPr="004A7F1F">
        <w:rPr>
          <w:i w:val="0"/>
          <w:szCs w:val="20"/>
        </w:rPr>
        <w:t>.</w:t>
      </w:r>
      <w:r w:rsidR="001D32F5" w:rsidRPr="004A7F1F">
        <w:rPr>
          <w:i w:val="0"/>
        </w:rPr>
        <w:t xml:space="preserve"> Among the reported uses are: Uses in Coating</w:t>
      </w:r>
      <w:r w:rsidR="00E05EDB" w:rsidRPr="004A7F1F">
        <w:rPr>
          <w:i w:val="0"/>
        </w:rPr>
        <w:t>s and paints</w:t>
      </w:r>
      <w:r w:rsidR="001D32F5" w:rsidRPr="004A7F1F">
        <w:rPr>
          <w:i w:val="0"/>
        </w:rPr>
        <w:t xml:space="preserve">, uses in road and construction application, in binders or </w:t>
      </w:r>
      <w:r w:rsidR="00E05EDB" w:rsidRPr="004A7F1F">
        <w:rPr>
          <w:i w:val="0"/>
        </w:rPr>
        <w:t xml:space="preserve">release </w:t>
      </w:r>
      <w:r w:rsidR="001D32F5" w:rsidRPr="004A7F1F">
        <w:rPr>
          <w:i w:val="0"/>
        </w:rPr>
        <w:t>agents</w:t>
      </w:r>
      <w:r w:rsidR="00E05EDB" w:rsidRPr="004A7F1F">
        <w:rPr>
          <w:i w:val="0"/>
        </w:rPr>
        <w:t>, uses in lubricants</w:t>
      </w:r>
      <w:r w:rsidR="001D32F5" w:rsidRPr="004A7F1F">
        <w:rPr>
          <w:i w:val="0"/>
        </w:rPr>
        <w:t xml:space="preserve"> and in cleaning agents.</w:t>
      </w:r>
      <w:r w:rsidR="00AB47FE" w:rsidRPr="004A7F1F">
        <w:rPr>
          <w:i w:val="0"/>
        </w:rPr>
        <w:t xml:space="preserve"> The substances are also registered for consumer uses.</w:t>
      </w:r>
      <w:r w:rsidR="001D32F5" w:rsidRPr="004A7F1F">
        <w:rPr>
          <w:i w:val="0"/>
        </w:rPr>
        <w:t xml:space="preserve"> Those uses are suitable to contribute to a significant environmental exposure.</w:t>
      </w:r>
      <w:r w:rsidR="00291107" w:rsidRPr="004A7F1F">
        <w:rPr>
          <w:i w:val="0"/>
        </w:rPr>
        <w:t xml:space="preserve"> </w:t>
      </w:r>
      <w:r w:rsidR="001E58D6" w:rsidRPr="004A7F1F">
        <w:rPr>
          <w:i w:val="0"/>
        </w:rPr>
        <w:t>T</w:t>
      </w:r>
      <w:r w:rsidR="00291107" w:rsidRPr="004A7F1F">
        <w:rPr>
          <w:i w:val="0"/>
        </w:rPr>
        <w:t xml:space="preserve">he low quality of registration dossiers were issued during </w:t>
      </w:r>
      <w:r w:rsidR="00842D86">
        <w:rPr>
          <w:i w:val="0"/>
        </w:rPr>
        <w:t>informal</w:t>
      </w:r>
      <w:r w:rsidR="00842D86" w:rsidRPr="004A7F1F">
        <w:rPr>
          <w:i w:val="0"/>
        </w:rPr>
        <w:t xml:space="preserve"> </w:t>
      </w:r>
      <w:r w:rsidR="00291107" w:rsidRPr="004A7F1F">
        <w:rPr>
          <w:i w:val="0"/>
        </w:rPr>
        <w:t xml:space="preserve">meetings </w:t>
      </w:r>
      <w:r w:rsidR="00121112">
        <w:rPr>
          <w:i w:val="0"/>
        </w:rPr>
        <w:t xml:space="preserve">of </w:t>
      </w:r>
      <w:r w:rsidR="00842D86">
        <w:rPr>
          <w:i w:val="0"/>
        </w:rPr>
        <w:t>authorities and industry</w:t>
      </w:r>
      <w:r w:rsidR="00291107" w:rsidRPr="004A7F1F">
        <w:rPr>
          <w:szCs w:val="20"/>
        </w:rPr>
        <w:t>.</w:t>
      </w:r>
      <w:r w:rsidR="00291107" w:rsidRPr="004A7F1F">
        <w:rPr>
          <w:i w:val="0"/>
          <w:szCs w:val="20"/>
        </w:rPr>
        <w:t xml:space="preserve"> </w:t>
      </w:r>
      <w:r w:rsidR="00842D86">
        <w:rPr>
          <w:i w:val="0"/>
          <w:szCs w:val="20"/>
        </w:rPr>
        <w:t>Therefore it is likely</w:t>
      </w:r>
      <w:r w:rsidR="00291107" w:rsidRPr="004A7F1F">
        <w:rPr>
          <w:i w:val="0"/>
          <w:szCs w:val="20"/>
        </w:rPr>
        <w:t xml:space="preserve"> that more than the</w:t>
      </w:r>
      <w:r w:rsidR="00262430" w:rsidRPr="004A7F1F">
        <w:rPr>
          <w:i w:val="0"/>
          <w:szCs w:val="20"/>
        </w:rPr>
        <w:t>se</w:t>
      </w:r>
      <w:r w:rsidR="00291107" w:rsidRPr="004A7F1F">
        <w:rPr>
          <w:i w:val="0"/>
          <w:szCs w:val="20"/>
        </w:rPr>
        <w:t xml:space="preserve"> substances do </w:t>
      </w:r>
      <w:r w:rsidR="00226281" w:rsidRPr="004A7F1F">
        <w:rPr>
          <w:i w:val="0"/>
          <w:szCs w:val="20"/>
        </w:rPr>
        <w:t>contain</w:t>
      </w:r>
      <w:r w:rsidR="00291107" w:rsidRPr="004A7F1F">
        <w:rPr>
          <w:i w:val="0"/>
          <w:szCs w:val="20"/>
        </w:rPr>
        <w:t xml:space="preserve"> </w:t>
      </w:r>
      <w:r w:rsidR="00556E7D" w:rsidRPr="004A7F1F">
        <w:rPr>
          <w:i w:val="0"/>
          <w:szCs w:val="20"/>
        </w:rPr>
        <w:t>CHR</w:t>
      </w:r>
      <w:r w:rsidR="001D32F5" w:rsidRPr="004A7F1F">
        <w:rPr>
          <w:i w:val="0"/>
          <w:szCs w:val="20"/>
        </w:rPr>
        <w:t xml:space="preserve"> and are used wide </w:t>
      </w:r>
      <w:proofErr w:type="spellStart"/>
      <w:r w:rsidR="00DA62DB" w:rsidRPr="004A7F1F">
        <w:rPr>
          <w:i w:val="0"/>
          <w:szCs w:val="20"/>
        </w:rPr>
        <w:t>dispersive</w:t>
      </w:r>
      <w:r w:rsidR="00226281" w:rsidRPr="004A7F1F">
        <w:rPr>
          <w:i w:val="0"/>
          <w:szCs w:val="20"/>
        </w:rPr>
        <w:t>ly</w:t>
      </w:r>
      <w:proofErr w:type="spellEnd"/>
      <w:r w:rsidR="00226281" w:rsidRPr="004A7F1F">
        <w:rPr>
          <w:i w:val="0"/>
          <w:szCs w:val="20"/>
        </w:rPr>
        <w:t>.</w:t>
      </w:r>
    </w:p>
    <w:p w14:paraId="05A3643E" w14:textId="13EF4CA2" w:rsidR="00117A0A" w:rsidRDefault="00E32EE3" w:rsidP="00F11A51">
      <w:pPr>
        <w:jc w:val="both"/>
        <w:rPr>
          <w:rFonts w:cs="Verdana"/>
          <w:color w:val="000000"/>
          <w:lang w:eastAsia="en-GB"/>
        </w:rPr>
      </w:pPr>
      <w:r>
        <w:rPr>
          <w:rFonts w:cs="Verdana"/>
          <w:color w:val="000000"/>
          <w:lang w:eastAsia="en-GB"/>
        </w:rPr>
        <w:t>T</w:t>
      </w:r>
      <w:r w:rsidR="00D011AE" w:rsidRPr="004A7F1F">
        <w:rPr>
          <w:rFonts w:cs="Verdana"/>
          <w:color w:val="000000"/>
          <w:lang w:eastAsia="en-GB"/>
        </w:rPr>
        <w:t>wo</w:t>
      </w:r>
      <w:r w:rsidR="009F2C7B" w:rsidRPr="004A7F1F">
        <w:rPr>
          <w:rFonts w:cs="Verdana"/>
          <w:color w:val="000000"/>
          <w:lang w:eastAsia="en-GB"/>
        </w:rPr>
        <w:t xml:space="preserve"> UVCBs </w:t>
      </w:r>
      <w:r w:rsidR="00D011AE" w:rsidRPr="004A7F1F">
        <w:rPr>
          <w:rFonts w:cs="Verdana"/>
          <w:color w:val="000000"/>
          <w:lang w:eastAsia="en-GB"/>
        </w:rPr>
        <w:t xml:space="preserve">containing CHR </w:t>
      </w:r>
      <w:r w:rsidR="009F2C7B" w:rsidRPr="004A7F1F">
        <w:rPr>
          <w:rFonts w:cs="Verdana"/>
          <w:color w:val="000000"/>
          <w:lang w:eastAsia="en-GB"/>
        </w:rPr>
        <w:t xml:space="preserve">are registered according to Art. 18 (transported isolated intermediate) with industrial uses in the production of other chemicals and rubbers. </w:t>
      </w:r>
    </w:p>
    <w:p w14:paraId="3E9972AD" w14:textId="77777777" w:rsidR="00F11A51" w:rsidRPr="004A7F1F" w:rsidRDefault="00F11A51" w:rsidP="00F11A51">
      <w:pPr>
        <w:jc w:val="both"/>
        <w:rPr>
          <w:rFonts w:cs="Verdana"/>
          <w:color w:val="000000"/>
          <w:lang w:eastAsia="en-GB"/>
        </w:rPr>
      </w:pPr>
    </w:p>
    <w:p w14:paraId="247F19EA" w14:textId="0F4755A3" w:rsidR="005D42E9" w:rsidRPr="004A7F1F" w:rsidRDefault="005D42E9" w:rsidP="00F11A51">
      <w:pPr>
        <w:jc w:val="both"/>
        <w:rPr>
          <w:rFonts w:cs="Verdana"/>
          <w:color w:val="000000"/>
          <w:lang w:eastAsia="en-GB"/>
        </w:rPr>
      </w:pPr>
      <w:r w:rsidRPr="004A7F1F">
        <w:rPr>
          <w:rFonts w:cs="Verdana"/>
          <w:color w:val="000000"/>
          <w:lang w:eastAsia="en-GB"/>
        </w:rPr>
        <w:t xml:space="preserve">Information on tonnage per identified use for the substance are limited. The use pattern </w:t>
      </w:r>
      <w:r w:rsidR="00791EF8" w:rsidRPr="004A7F1F">
        <w:rPr>
          <w:rFonts w:cs="Verdana"/>
          <w:color w:val="000000"/>
          <w:lang w:eastAsia="en-GB"/>
        </w:rPr>
        <w:t xml:space="preserve">of “Pitch, coal tar, high-temp” (CAS: </w:t>
      </w:r>
      <w:r w:rsidR="00A95D5C" w:rsidRPr="004A7F1F">
        <w:rPr>
          <w:rFonts w:cs="Verdana"/>
          <w:color w:val="000000"/>
          <w:lang w:eastAsia="en-GB"/>
        </w:rPr>
        <w:t xml:space="preserve">65996-93-2) was analysed and discussed in detail in </w:t>
      </w:r>
      <w:r w:rsidR="00A95D5C" w:rsidRPr="004A7F1F">
        <w:rPr>
          <w:rFonts w:cs="Verdana"/>
          <w:color w:val="000000"/>
          <w:lang w:eastAsia="en-GB"/>
        </w:rPr>
        <w:lastRenderedPageBreak/>
        <w:t xml:space="preserve">the Risk Assessment Report of CTHPH (EC, 2008). It is reported that CTPHT is mainly used as a binding agent for anodes and electrodes. </w:t>
      </w:r>
      <w:r w:rsidR="00E40E3C" w:rsidRPr="004A7F1F">
        <w:rPr>
          <w:rFonts w:cs="Verdana"/>
          <w:color w:val="000000"/>
          <w:lang w:eastAsia="en-GB"/>
        </w:rPr>
        <w:t>Taking the use as binding agent for refractory materials into account, these applications cover</w:t>
      </w:r>
      <w:r w:rsidR="00591C44" w:rsidRPr="004A7F1F">
        <w:rPr>
          <w:rFonts w:cs="Verdana"/>
          <w:color w:val="000000"/>
          <w:lang w:eastAsia="en-GB"/>
        </w:rPr>
        <w:t>ed</w:t>
      </w:r>
      <w:r w:rsidR="00E40E3C" w:rsidRPr="004A7F1F">
        <w:rPr>
          <w:rFonts w:cs="Verdana"/>
          <w:color w:val="000000"/>
          <w:lang w:eastAsia="en-GB"/>
        </w:rPr>
        <w:t xml:space="preserve"> 94 % of the sales in the EU in 2003.</w:t>
      </w:r>
    </w:p>
    <w:p w14:paraId="115C5D63" w14:textId="77777777" w:rsidR="009320EC" w:rsidRPr="004A7F1F" w:rsidRDefault="009320EC" w:rsidP="00554DC9">
      <w:pPr>
        <w:pStyle w:val="Title"/>
        <w:numPr>
          <w:ilvl w:val="0"/>
          <w:numId w:val="0"/>
        </w:numPr>
      </w:pPr>
      <w:bookmarkStart w:id="706" w:name="_Toc422996198"/>
    </w:p>
    <w:p w14:paraId="115C5D64" w14:textId="77777777" w:rsidR="00554DC9" w:rsidRPr="004A7F1F" w:rsidRDefault="00CF6F1B" w:rsidP="00554DC9">
      <w:pPr>
        <w:pStyle w:val="Title"/>
        <w:numPr>
          <w:ilvl w:val="0"/>
          <w:numId w:val="0"/>
        </w:numPr>
      </w:pPr>
      <w:bookmarkStart w:id="707" w:name="_Toc491868926"/>
      <w:r w:rsidRPr="004A7F1F">
        <w:t>10</w:t>
      </w:r>
      <w:r w:rsidR="00554DC9" w:rsidRPr="004A7F1F">
        <w:t>. Information on structure of the supply chain</w:t>
      </w:r>
      <w:bookmarkEnd w:id="706"/>
      <w:bookmarkEnd w:id="707"/>
    </w:p>
    <w:p w14:paraId="115C5D66" w14:textId="7EBC16FB" w:rsidR="003819B8" w:rsidRPr="004A7F1F" w:rsidRDefault="008A6235" w:rsidP="005E6402">
      <w:pPr>
        <w:pStyle w:val="NormalItalic"/>
        <w:rPr>
          <w:i w:val="0"/>
        </w:rPr>
      </w:pPr>
      <w:r w:rsidRPr="004A7F1F">
        <w:rPr>
          <w:i w:val="0"/>
        </w:rPr>
        <w:t xml:space="preserve">The structure </w:t>
      </w:r>
      <w:r w:rsidR="00C51A95" w:rsidRPr="004A7F1F">
        <w:rPr>
          <w:i w:val="0"/>
        </w:rPr>
        <w:t xml:space="preserve">of the supply chain and downstream users is </w:t>
      </w:r>
      <w:r w:rsidR="00226281" w:rsidRPr="004A7F1F">
        <w:rPr>
          <w:i w:val="0"/>
        </w:rPr>
        <w:t>complex</w:t>
      </w:r>
      <w:r w:rsidR="00C51A95" w:rsidRPr="004A7F1F">
        <w:rPr>
          <w:i w:val="0"/>
        </w:rPr>
        <w:t xml:space="preserve">. </w:t>
      </w:r>
      <w:r w:rsidR="00AB47FE" w:rsidRPr="004A7F1F">
        <w:rPr>
          <w:i w:val="0"/>
        </w:rPr>
        <w:t xml:space="preserve">As </w:t>
      </w:r>
      <w:r w:rsidR="00C51A95" w:rsidRPr="004A7F1F">
        <w:rPr>
          <w:i w:val="0"/>
        </w:rPr>
        <w:t>primary producers of UVBCs are organi</w:t>
      </w:r>
      <w:r w:rsidR="00F30D5B">
        <w:rPr>
          <w:i w:val="0"/>
        </w:rPr>
        <w:t>s</w:t>
      </w:r>
      <w:r w:rsidR="00C51A95" w:rsidRPr="004A7F1F">
        <w:rPr>
          <w:i w:val="0"/>
        </w:rPr>
        <w:t>ed in industry consortia like CONCAWE</w:t>
      </w:r>
      <w:r w:rsidR="00C51A95" w:rsidRPr="00EF7299">
        <w:rPr>
          <w:rStyle w:val="FootnoteReference"/>
          <w:rFonts w:ascii="Verdana" w:hAnsi="Verdana"/>
          <w:i w:val="0"/>
          <w:sz w:val="20"/>
        </w:rPr>
        <w:footnoteReference w:id="4"/>
      </w:r>
      <w:r w:rsidR="00C51A95" w:rsidRPr="004A7F1F">
        <w:rPr>
          <w:i w:val="0"/>
        </w:rPr>
        <w:t xml:space="preserve">, </w:t>
      </w:r>
      <w:proofErr w:type="spellStart"/>
      <w:r w:rsidR="008A566F" w:rsidRPr="004A7F1F">
        <w:rPr>
          <w:i w:val="0"/>
        </w:rPr>
        <w:t>Cefic</w:t>
      </w:r>
      <w:proofErr w:type="spellEnd"/>
      <w:r w:rsidR="004B3233" w:rsidRPr="00E773C0">
        <w:rPr>
          <w:rStyle w:val="FootnoteReference"/>
          <w:rFonts w:ascii="Verdana" w:hAnsi="Verdana"/>
          <w:i w:val="0"/>
          <w:sz w:val="20"/>
        </w:rPr>
        <w:footnoteReference w:id="5"/>
      </w:r>
      <w:r w:rsidR="00C51A95" w:rsidRPr="004A7F1F">
        <w:rPr>
          <w:i w:val="0"/>
        </w:rPr>
        <w:t>, LOA</w:t>
      </w:r>
      <w:r w:rsidR="004B3233" w:rsidRPr="00E773C0">
        <w:rPr>
          <w:rStyle w:val="FootnoteReference"/>
          <w:rFonts w:ascii="Verdana" w:hAnsi="Verdana"/>
          <w:i w:val="0"/>
          <w:sz w:val="20"/>
        </w:rPr>
        <w:footnoteReference w:id="6"/>
      </w:r>
      <w:r w:rsidR="00C51A95" w:rsidRPr="00E773C0">
        <w:rPr>
          <w:i w:val="0"/>
          <w:sz w:val="24"/>
        </w:rPr>
        <w:t xml:space="preserve"> </w:t>
      </w:r>
      <w:r w:rsidR="00C51A95" w:rsidRPr="004A7F1F">
        <w:rPr>
          <w:i w:val="0"/>
        </w:rPr>
        <w:t>and other</w:t>
      </w:r>
      <w:r w:rsidR="004B40BE" w:rsidRPr="004A7F1F">
        <w:rPr>
          <w:i w:val="0"/>
        </w:rPr>
        <w:t>,</w:t>
      </w:r>
      <w:r w:rsidR="00F34DE9" w:rsidRPr="004A7F1F">
        <w:rPr>
          <w:i w:val="0"/>
        </w:rPr>
        <w:t xml:space="preserve"> </w:t>
      </w:r>
      <w:r w:rsidR="004B40BE" w:rsidRPr="004A7F1F">
        <w:rPr>
          <w:i w:val="0"/>
        </w:rPr>
        <w:t>t</w:t>
      </w:r>
      <w:r w:rsidR="00F34DE9" w:rsidRPr="004A7F1F">
        <w:rPr>
          <w:i w:val="0"/>
        </w:rPr>
        <w:t>his allows regulatory authorities to address specific questions and concerns to industry. However,</w:t>
      </w:r>
      <w:r w:rsidR="00C51A95" w:rsidRPr="004A7F1F">
        <w:rPr>
          <w:i w:val="0"/>
        </w:rPr>
        <w:t xml:space="preserve"> </w:t>
      </w:r>
      <w:r w:rsidR="00D657A5">
        <w:rPr>
          <w:i w:val="0"/>
        </w:rPr>
        <w:t xml:space="preserve">according to information from an industry sector organisation </w:t>
      </w:r>
      <w:r w:rsidR="00C51A95" w:rsidRPr="004A7F1F">
        <w:rPr>
          <w:i w:val="0"/>
        </w:rPr>
        <w:t>the knowledge of uses decrease</w:t>
      </w:r>
      <w:r w:rsidR="004B40BE" w:rsidRPr="004A7F1F">
        <w:rPr>
          <w:i w:val="0"/>
        </w:rPr>
        <w:t>s</w:t>
      </w:r>
      <w:r w:rsidR="00C51A95" w:rsidRPr="004A7F1F">
        <w:rPr>
          <w:i w:val="0"/>
        </w:rPr>
        <w:t xml:space="preserve"> wi</w:t>
      </w:r>
      <w:r w:rsidR="004B40BE" w:rsidRPr="004A7F1F">
        <w:rPr>
          <w:i w:val="0"/>
        </w:rPr>
        <w:t>th the increase in the level of downstream use</w:t>
      </w:r>
      <w:r w:rsidR="00C51A95" w:rsidRPr="004A7F1F">
        <w:rPr>
          <w:i w:val="0"/>
        </w:rPr>
        <w:t xml:space="preserve">s. </w:t>
      </w:r>
    </w:p>
    <w:p w14:paraId="625772C3" w14:textId="77777777" w:rsidR="00364C57" w:rsidRPr="004A7F1F" w:rsidRDefault="00364C57" w:rsidP="005E6402">
      <w:pPr>
        <w:pStyle w:val="NormalItalic"/>
        <w:rPr>
          <w:i w:val="0"/>
        </w:rPr>
      </w:pPr>
    </w:p>
    <w:p w14:paraId="115C5D67" w14:textId="77777777" w:rsidR="005E6402" w:rsidRPr="004A7F1F" w:rsidRDefault="00CF6F1B" w:rsidP="00CF6F1B">
      <w:pPr>
        <w:pStyle w:val="Heading1"/>
        <w:numPr>
          <w:ilvl w:val="0"/>
          <w:numId w:val="0"/>
        </w:numPr>
      </w:pPr>
      <w:bookmarkStart w:id="708" w:name="_Toc491868927"/>
      <w:r w:rsidRPr="004A7F1F">
        <w:t xml:space="preserve">11. </w:t>
      </w:r>
      <w:r w:rsidR="005E6402" w:rsidRPr="004A7F1F">
        <w:t>Additional information</w:t>
      </w:r>
      <w:bookmarkEnd w:id="708"/>
      <w:r w:rsidR="005E6402" w:rsidRPr="004A7F1F">
        <w:t xml:space="preserve"> </w:t>
      </w:r>
    </w:p>
    <w:p w14:paraId="115C5D69" w14:textId="77777777" w:rsidR="005E6402" w:rsidRPr="004A7F1F" w:rsidRDefault="0010600C" w:rsidP="00F11A51">
      <w:pPr>
        <w:pStyle w:val="BodyText"/>
        <w:jc w:val="both"/>
      </w:pPr>
      <w:r w:rsidRPr="004A7F1F">
        <w:t xml:space="preserve">11.1 </w:t>
      </w:r>
      <w:r w:rsidR="005E6402" w:rsidRPr="004A7F1F">
        <w:t>Substances with similar hazard and use profiles</w:t>
      </w:r>
      <w:r w:rsidR="00E26FE8" w:rsidRPr="004A7F1F">
        <w:t xml:space="preserve"> on the Candidate List</w:t>
      </w:r>
    </w:p>
    <w:p w14:paraId="115C5D70" w14:textId="685F956B" w:rsidR="0010600C" w:rsidRPr="004A7F1F" w:rsidRDefault="00ED63BE" w:rsidP="00F11A51">
      <w:pPr>
        <w:pStyle w:val="BodyText"/>
        <w:jc w:val="both"/>
      </w:pPr>
      <w:r w:rsidRPr="004A7F1F">
        <w:t>CHR</w:t>
      </w:r>
      <w:r w:rsidR="00226281" w:rsidRPr="004A7F1F">
        <w:t xml:space="preserve"> is not produced</w:t>
      </w:r>
      <w:r w:rsidR="003B1A03" w:rsidRPr="004A7F1F">
        <w:t xml:space="preserve"> intentionally but occurs </w:t>
      </w:r>
      <w:r w:rsidRPr="004A7F1F">
        <w:t xml:space="preserve">together with other PAHs </w:t>
      </w:r>
      <w:r w:rsidR="003B1A03" w:rsidRPr="004A7F1F">
        <w:t>as constituent of coal and petroleum stream UVCB substances</w:t>
      </w:r>
      <w:r w:rsidRPr="004A7F1F">
        <w:t xml:space="preserve">. Among the PAHs </w:t>
      </w:r>
      <w:r w:rsidR="001F5523" w:rsidRPr="004A7F1F">
        <w:t>benzo[a]pyrene (B[a</w:t>
      </w:r>
      <w:proofErr w:type="gramStart"/>
      <w:r w:rsidR="001F5523" w:rsidRPr="004A7F1F">
        <w:t>]P</w:t>
      </w:r>
      <w:proofErr w:type="gramEnd"/>
      <w:r w:rsidRPr="004A7F1F">
        <w:t>, EC number: 200-028-5</w:t>
      </w:r>
      <w:r w:rsidR="001F5523" w:rsidRPr="004A7F1F">
        <w:t>) and anthracene</w:t>
      </w:r>
      <w:r w:rsidRPr="004A7F1F">
        <w:t xml:space="preserve"> (EC number: 204-371-1)</w:t>
      </w:r>
      <w:r w:rsidR="00F15714" w:rsidRPr="004A7F1F">
        <w:t xml:space="preserve"> </w:t>
      </w:r>
      <w:r w:rsidRPr="004A7F1F">
        <w:t xml:space="preserve">are </w:t>
      </w:r>
      <w:r w:rsidR="00226281" w:rsidRPr="004A7F1F">
        <w:t>included in</w:t>
      </w:r>
      <w:r w:rsidRPr="004A7F1F">
        <w:t xml:space="preserve"> the </w:t>
      </w:r>
      <w:r w:rsidR="001F5523" w:rsidRPr="004A7F1F">
        <w:t>C</w:t>
      </w:r>
      <w:r w:rsidR="001A66C1" w:rsidRPr="004A7F1F">
        <w:t xml:space="preserve">andidate </w:t>
      </w:r>
      <w:r w:rsidR="001F5523" w:rsidRPr="004A7F1F">
        <w:t>L</w:t>
      </w:r>
      <w:r w:rsidR="001A66C1" w:rsidRPr="004A7F1F">
        <w:t xml:space="preserve">ist due to PBT and </w:t>
      </w:r>
      <w:proofErr w:type="spellStart"/>
      <w:r w:rsidR="001A66C1" w:rsidRPr="004A7F1F">
        <w:t>v</w:t>
      </w:r>
      <w:r w:rsidR="001F5523" w:rsidRPr="004A7F1F">
        <w:t>P</w:t>
      </w:r>
      <w:r w:rsidR="001A66C1" w:rsidRPr="004A7F1F">
        <w:t>v</w:t>
      </w:r>
      <w:r w:rsidR="001F5523" w:rsidRPr="004A7F1F">
        <w:t>B</w:t>
      </w:r>
      <w:proofErr w:type="spellEnd"/>
      <w:r w:rsidR="001A66C1" w:rsidRPr="004A7F1F">
        <w:t xml:space="preserve"> p</w:t>
      </w:r>
      <w:r w:rsidR="00EA0878" w:rsidRPr="004A7F1F">
        <w:t>roperties</w:t>
      </w:r>
      <w:r w:rsidR="001F5523" w:rsidRPr="004A7F1F">
        <w:t xml:space="preserve"> already</w:t>
      </w:r>
      <w:r w:rsidR="00EA0878" w:rsidRPr="004A7F1F">
        <w:t xml:space="preserve">. </w:t>
      </w:r>
    </w:p>
    <w:p w14:paraId="5AB8AA07" w14:textId="7320A0CC" w:rsidR="001A66C1" w:rsidRPr="004A7F1F" w:rsidRDefault="001F5523" w:rsidP="00F11A51">
      <w:pPr>
        <w:pStyle w:val="BodyText"/>
        <w:jc w:val="both"/>
      </w:pPr>
      <w:r w:rsidRPr="004A7F1F">
        <w:t xml:space="preserve">Further UVCBs like </w:t>
      </w:r>
      <w:r w:rsidR="001A66C1" w:rsidRPr="004A7F1F">
        <w:t xml:space="preserve">CTPHT </w:t>
      </w:r>
      <w:r w:rsidR="000E7C3D" w:rsidRPr="004A7F1F">
        <w:t>(EC number: 266-028-2) and five anthracene oil-derivatives (EC numbers: 292-604-8, 295-278-5, 295-275-9, 292-603-2, and 292-602-7) are</w:t>
      </w:r>
      <w:r w:rsidR="001A66C1" w:rsidRPr="004A7F1F">
        <w:t xml:space="preserve"> listed in the </w:t>
      </w:r>
      <w:r w:rsidR="000E7C3D" w:rsidRPr="004A7F1F">
        <w:t>C</w:t>
      </w:r>
      <w:r w:rsidR="005F386B" w:rsidRPr="004A7F1F">
        <w:t>andidate List</w:t>
      </w:r>
      <w:r w:rsidR="001A66C1" w:rsidRPr="004A7F1F">
        <w:t xml:space="preserve"> due to </w:t>
      </w:r>
      <w:r w:rsidR="000E7C3D" w:rsidRPr="004A7F1F">
        <w:t xml:space="preserve">assessment of the </w:t>
      </w:r>
      <w:r w:rsidR="001A66C1" w:rsidRPr="004A7F1F">
        <w:t xml:space="preserve">intrinsic properties of </w:t>
      </w:r>
      <w:proofErr w:type="gramStart"/>
      <w:r w:rsidR="00EE0CF7" w:rsidRPr="004A7F1F">
        <w:t>its</w:t>
      </w:r>
      <w:proofErr w:type="gramEnd"/>
      <w:r w:rsidR="001A66C1" w:rsidRPr="004A7F1F">
        <w:t xml:space="preserve"> </w:t>
      </w:r>
      <w:r w:rsidR="000E7C3D" w:rsidRPr="004A7F1F">
        <w:t xml:space="preserve">PAH </w:t>
      </w:r>
      <w:r w:rsidR="001A66C1" w:rsidRPr="004A7F1F">
        <w:t xml:space="preserve">constituents. </w:t>
      </w:r>
      <w:r w:rsidR="00ED63BE" w:rsidRPr="004A7F1F">
        <w:t>CHR</w:t>
      </w:r>
      <w:r w:rsidR="001A66C1" w:rsidRPr="004A7F1F">
        <w:t xml:space="preserve"> was one of its </w:t>
      </w:r>
      <w:r w:rsidR="000E7C3D" w:rsidRPr="004A7F1F">
        <w:t>constituents</w:t>
      </w:r>
      <w:r w:rsidR="001A66C1" w:rsidRPr="004A7F1F">
        <w:t xml:space="preserve"> which lead the inclusion of CTPH </w:t>
      </w:r>
      <w:r w:rsidR="00EA22DC" w:rsidRPr="004A7F1F">
        <w:t>into the Candidate List</w:t>
      </w:r>
      <w:r w:rsidR="001A66C1" w:rsidRPr="004A7F1F">
        <w:t xml:space="preserve"> </w:t>
      </w:r>
      <w:r w:rsidR="00EA22DC" w:rsidRPr="004A7F1F">
        <w:t>based on</w:t>
      </w:r>
      <w:r w:rsidR="001E23CF" w:rsidRPr="004A7F1F">
        <w:t xml:space="preserve"> its</w:t>
      </w:r>
      <w:r w:rsidR="00226281" w:rsidRPr="004A7F1F">
        <w:t xml:space="preserve"> PBT and </w:t>
      </w:r>
      <w:proofErr w:type="spellStart"/>
      <w:r w:rsidR="00226281" w:rsidRPr="004A7F1F">
        <w:t>vPvB</w:t>
      </w:r>
      <w:proofErr w:type="spellEnd"/>
      <w:r w:rsidR="00226281" w:rsidRPr="004A7F1F">
        <w:t xml:space="preserve"> </w:t>
      </w:r>
      <w:r w:rsidR="00754CFA" w:rsidRPr="004A7F1F">
        <w:t>properties</w:t>
      </w:r>
      <w:r w:rsidR="00226281" w:rsidRPr="004A7F1F">
        <w:t>.</w:t>
      </w:r>
    </w:p>
    <w:p w14:paraId="2F4C97A0" w14:textId="77777777" w:rsidR="00364C57" w:rsidRPr="004A7F1F" w:rsidRDefault="00364C57" w:rsidP="003B3C62">
      <w:pPr>
        <w:pStyle w:val="BodyText"/>
      </w:pPr>
    </w:p>
    <w:p w14:paraId="115C5D71" w14:textId="77777777" w:rsidR="008476D2" w:rsidRPr="004A7F1F" w:rsidRDefault="0010600C" w:rsidP="0010600C">
      <w:pPr>
        <w:pStyle w:val="Heading2"/>
      </w:pPr>
      <w:bookmarkStart w:id="709" w:name="_Toc491868928"/>
      <w:r w:rsidRPr="004A7F1F">
        <w:t xml:space="preserve">11.2 </w:t>
      </w:r>
      <w:r w:rsidR="007E6629" w:rsidRPr="004A7F1F">
        <w:t>Alternatives</w:t>
      </w:r>
      <w:bookmarkEnd w:id="709"/>
    </w:p>
    <w:p w14:paraId="664BE481" w14:textId="77777777" w:rsidR="00F11A51" w:rsidRDefault="00A224F3" w:rsidP="003B3C62">
      <w:pPr>
        <w:jc w:val="both"/>
      </w:pPr>
      <w:r w:rsidRPr="004A7F1F">
        <w:t xml:space="preserve">It is possible to considerably decrease the PAH content of UVCB substances derived from coal or mineral oil (see for example use of low aromatic oils in tires, (KEMI, 2003)). Furthermore, there seems to be no unique, essential technical function </w:t>
      </w:r>
      <w:r w:rsidR="0068276C" w:rsidRPr="004A7F1F">
        <w:t xml:space="preserve">of </w:t>
      </w:r>
      <w:r w:rsidRPr="004A7F1F">
        <w:t>PAHs in PAH-containing UVCB substances in most cases. Currently, only in some limited cases no alternatives to PAH-containing substances seem to be available, e.g. for binding material used in certain electrodes in the aluminium production.</w:t>
      </w:r>
      <w:r w:rsidR="005F386B" w:rsidRPr="004A7F1F">
        <w:t xml:space="preserve"> Hereby PAH</w:t>
      </w:r>
      <w:r w:rsidR="00EE0CF7" w:rsidRPr="004A7F1F">
        <w:t>s</w:t>
      </w:r>
      <w:r w:rsidR="005F386B" w:rsidRPr="004A7F1F">
        <w:t xml:space="preserve"> are essential constituents which are needed to form a graphite structure.</w:t>
      </w:r>
    </w:p>
    <w:p w14:paraId="7A7C4216" w14:textId="088A0C26" w:rsidR="00A224F3" w:rsidRPr="004A7F1F" w:rsidRDefault="005F386B" w:rsidP="003B3C62">
      <w:pPr>
        <w:jc w:val="both"/>
      </w:pPr>
      <w:r w:rsidRPr="004A7F1F">
        <w:t xml:space="preserve"> </w:t>
      </w:r>
    </w:p>
    <w:p w14:paraId="479A83C2" w14:textId="60002D58" w:rsidR="005F386B" w:rsidRPr="004A7F1F" w:rsidRDefault="005F386B" w:rsidP="003B3C62">
      <w:pPr>
        <w:jc w:val="both"/>
      </w:pPr>
      <w:r w:rsidRPr="004A7F1F">
        <w:t xml:space="preserve">It is important to stress that the complete picture of uses of </w:t>
      </w:r>
      <w:r w:rsidR="00F15714" w:rsidRPr="004A7F1F">
        <w:t>CHR</w:t>
      </w:r>
      <w:r w:rsidRPr="004A7F1F">
        <w:t>-containing UVCB substances remain</w:t>
      </w:r>
      <w:r w:rsidR="00226281" w:rsidRPr="004A7F1F">
        <w:t>s</w:t>
      </w:r>
      <w:r w:rsidRPr="004A7F1F">
        <w:t xml:space="preserve"> unclear as </w:t>
      </w:r>
      <w:r w:rsidR="00226281" w:rsidRPr="004A7F1F">
        <w:t>it is not possible</w:t>
      </w:r>
      <w:r w:rsidRPr="004A7F1F">
        <w:t xml:space="preserve"> to identify all of these substances themselves. Further regulatory actions on these substances might be warranted in the future.</w:t>
      </w:r>
    </w:p>
    <w:p w14:paraId="115C5D79" w14:textId="4DBB500E" w:rsidR="008036AD" w:rsidRPr="004A7F1F" w:rsidRDefault="0010600C" w:rsidP="00226281">
      <w:pPr>
        <w:pStyle w:val="Heading2"/>
        <w:jc w:val="both"/>
      </w:pPr>
      <w:bookmarkStart w:id="710" w:name="_Toc491868929"/>
      <w:r w:rsidRPr="004A7F1F">
        <w:t xml:space="preserve">11.3 </w:t>
      </w:r>
      <w:r w:rsidR="005E6402" w:rsidRPr="004A7F1F">
        <w:t>Existing EU legislation</w:t>
      </w:r>
      <w:bookmarkEnd w:id="710"/>
    </w:p>
    <w:p w14:paraId="115C5D7A" w14:textId="45C5B635" w:rsidR="003A2F50" w:rsidRPr="004A7F1F" w:rsidRDefault="00F15714" w:rsidP="00F11A51">
      <w:pPr>
        <w:pStyle w:val="ListParagraph"/>
        <w:ind w:left="0"/>
        <w:jc w:val="both"/>
      </w:pPr>
      <w:r w:rsidRPr="004A7F1F">
        <w:t>CHR</w:t>
      </w:r>
      <w:r w:rsidR="00071FAB" w:rsidRPr="004A7F1F">
        <w:t xml:space="preserve"> is harmoni</w:t>
      </w:r>
      <w:r w:rsidR="00F61FE3">
        <w:t>s</w:t>
      </w:r>
      <w:r w:rsidR="00071FAB" w:rsidRPr="004A7F1F">
        <w:t xml:space="preserve">ed classified as carcinogenic 1B (regulation EU 1272/2008, Annex VI, Table 3.1). Entry 28 </w:t>
      </w:r>
      <w:r w:rsidR="008E7698" w:rsidRPr="004A7F1F">
        <w:t xml:space="preserve">in Annex XVII </w:t>
      </w:r>
      <w:r w:rsidR="00071FAB" w:rsidRPr="004A7F1F">
        <w:t xml:space="preserve">of Regulation REACH (907/2006) applies accordingly. </w:t>
      </w:r>
    </w:p>
    <w:p w14:paraId="2A43377A" w14:textId="77777777" w:rsidR="00071FAB" w:rsidRPr="004A7F1F" w:rsidRDefault="00071FAB" w:rsidP="00F11A51">
      <w:pPr>
        <w:pStyle w:val="ListParagraph"/>
        <w:ind w:left="0"/>
        <w:jc w:val="both"/>
      </w:pPr>
    </w:p>
    <w:p w14:paraId="5137AA4F" w14:textId="4CEBF215" w:rsidR="005128B3" w:rsidRPr="004A7F1F" w:rsidRDefault="00785F4C" w:rsidP="00F11A51">
      <w:pPr>
        <w:pStyle w:val="ListParagraph"/>
        <w:ind w:left="0"/>
        <w:jc w:val="both"/>
        <w:rPr>
          <w:caps/>
        </w:rPr>
      </w:pPr>
      <w:r>
        <w:t xml:space="preserve">In addition to entry 28 </w:t>
      </w:r>
      <w:r w:rsidR="0076036E" w:rsidRPr="004A7F1F">
        <w:t>CHR</w:t>
      </w:r>
      <w:r w:rsidR="00071FAB" w:rsidRPr="004A7F1F">
        <w:t xml:space="preserve"> is </w:t>
      </w:r>
      <w:r>
        <w:t xml:space="preserve">further </w:t>
      </w:r>
      <w:r w:rsidR="00071FAB" w:rsidRPr="004A7F1F">
        <w:t xml:space="preserve">restricted by entry 50 </w:t>
      </w:r>
      <w:r w:rsidR="00754CFA">
        <w:t xml:space="preserve">of </w:t>
      </w:r>
      <w:r w:rsidR="00071FAB" w:rsidRPr="004A7F1F">
        <w:t xml:space="preserve">Annex XVII </w:t>
      </w:r>
      <w:r w:rsidR="00754CFA">
        <w:t>to</w:t>
      </w:r>
      <w:r w:rsidR="00754CFA" w:rsidRPr="004A7F1F">
        <w:t xml:space="preserve"> </w:t>
      </w:r>
      <w:r w:rsidR="00071FAB" w:rsidRPr="004A7F1F">
        <w:t xml:space="preserve">Regulation REACH. Therefore use of extender oils in tyres </w:t>
      </w:r>
      <w:r w:rsidR="00313560" w:rsidRPr="004A7F1F">
        <w:t xml:space="preserve">is prohibited, </w:t>
      </w:r>
      <w:r w:rsidR="00071FAB" w:rsidRPr="004A7F1F">
        <w:t>if the sum in content of following PAH</w:t>
      </w:r>
      <w:r w:rsidR="00EE0CF7" w:rsidRPr="004A7F1F">
        <w:t>s</w:t>
      </w:r>
      <w:r w:rsidR="00071FAB" w:rsidRPr="004A7F1F">
        <w:t xml:space="preserve"> is </w:t>
      </w:r>
      <w:r w:rsidR="00414D6D" w:rsidRPr="004A7F1F">
        <w:t>above</w:t>
      </w:r>
      <w:r w:rsidR="00071FAB" w:rsidRPr="004A7F1F">
        <w:t xml:space="preserve"> 10 mg/kg</w:t>
      </w:r>
      <w:r w:rsidR="00414D6D" w:rsidRPr="004A7F1F">
        <w:t>: Benz(a)pyrene (50-32-8, Benzo(e)pyrene (192-97-2), Benzo(a)anthracene (56-55-3), Chrysene (218-01-9), Benzo(b)</w:t>
      </w:r>
      <w:proofErr w:type="spellStart"/>
      <w:r w:rsidR="00414D6D" w:rsidRPr="004A7F1F">
        <w:t>fluoranthene</w:t>
      </w:r>
      <w:proofErr w:type="spellEnd"/>
      <w:r w:rsidR="00414D6D" w:rsidRPr="004A7F1F">
        <w:t xml:space="preserve"> (205-99-2), Benzo(j)</w:t>
      </w:r>
      <w:proofErr w:type="spellStart"/>
      <w:r w:rsidR="00414D6D" w:rsidRPr="004A7F1F">
        <w:t>fluoranthene</w:t>
      </w:r>
      <w:proofErr w:type="spellEnd"/>
      <w:r w:rsidR="00414D6D" w:rsidRPr="004A7F1F">
        <w:t xml:space="preserve"> (205-82-3), Benz(k)</w:t>
      </w:r>
      <w:proofErr w:type="spellStart"/>
      <w:r w:rsidR="00414D6D" w:rsidRPr="004A7F1F">
        <w:t>fluoranthene</w:t>
      </w:r>
      <w:proofErr w:type="spellEnd"/>
      <w:r w:rsidR="00414D6D" w:rsidRPr="004A7F1F">
        <w:t xml:space="preserve"> (207-08-9) and </w:t>
      </w:r>
      <w:proofErr w:type="spellStart"/>
      <w:r w:rsidR="00414D6D" w:rsidRPr="004A7F1F">
        <w:t>Dibenzo</w:t>
      </w:r>
      <w:proofErr w:type="spellEnd"/>
      <w:r w:rsidR="00414D6D" w:rsidRPr="004A7F1F">
        <w:t>(</w:t>
      </w:r>
      <w:proofErr w:type="spellStart"/>
      <w:r w:rsidR="00414D6D" w:rsidRPr="004A7F1F">
        <w:t>a,h</w:t>
      </w:r>
      <w:proofErr w:type="spellEnd"/>
      <w:r w:rsidR="00414D6D" w:rsidRPr="004A7F1F">
        <w:t>)anthracene (53-70-3)</w:t>
      </w:r>
      <w:r w:rsidR="00AA7C6D" w:rsidRPr="004A7F1F">
        <w:t xml:space="preserve">. Further articles </w:t>
      </w:r>
      <w:r w:rsidR="001B6DB1" w:rsidRPr="004A7F1F">
        <w:t xml:space="preserve">shall not be placed on the market for supply to the general </w:t>
      </w:r>
      <w:r w:rsidR="00313560" w:rsidRPr="004A7F1F">
        <w:t>p</w:t>
      </w:r>
      <w:r w:rsidR="001B6DB1" w:rsidRPr="004A7F1F">
        <w:t xml:space="preserve">ublic, if any of </w:t>
      </w:r>
      <w:r w:rsidR="0076036E" w:rsidRPr="004A7F1F">
        <w:t>these</w:t>
      </w:r>
      <w:r w:rsidR="001B6DB1" w:rsidRPr="004A7F1F">
        <w:t xml:space="preserve"> rubber or plastic components that come to direct and prolonged or short-term repetitive contact with human skin or oral cavity contains more than 1mg/kg </w:t>
      </w:r>
      <w:r w:rsidR="008E7698" w:rsidRPr="004A7F1F">
        <w:t>CHR</w:t>
      </w:r>
      <w:r w:rsidR="001B6DB1" w:rsidRPr="004A7F1F">
        <w:t xml:space="preserve">. For toys the same </w:t>
      </w:r>
      <w:r w:rsidR="00313560" w:rsidRPr="004A7F1F">
        <w:t>applies</w:t>
      </w:r>
      <w:r w:rsidR="001B6DB1" w:rsidRPr="004A7F1F">
        <w:t xml:space="preserve"> but the limit of </w:t>
      </w:r>
      <w:r w:rsidR="008E7698" w:rsidRPr="004A7F1F">
        <w:t>CHR</w:t>
      </w:r>
      <w:r w:rsidR="001B6DB1" w:rsidRPr="004A7F1F">
        <w:t xml:space="preserve"> content is 0.5 mg/kg. </w:t>
      </w:r>
    </w:p>
    <w:p w14:paraId="3B3C9AE6" w14:textId="77777777" w:rsidR="005128B3" w:rsidRPr="004A7F1F" w:rsidRDefault="005128B3" w:rsidP="00F11A51">
      <w:pPr>
        <w:pStyle w:val="ListParagraph"/>
        <w:ind w:left="0"/>
        <w:jc w:val="both"/>
        <w:rPr>
          <w:caps/>
        </w:rPr>
      </w:pPr>
    </w:p>
    <w:p w14:paraId="1F0F38E8" w14:textId="4F108842" w:rsidR="005128B3" w:rsidRPr="004A7F1F" w:rsidRDefault="0076036E" w:rsidP="00F11A51">
      <w:pPr>
        <w:pStyle w:val="ListParagraph"/>
        <w:ind w:left="0"/>
        <w:jc w:val="both"/>
      </w:pPr>
      <w:r w:rsidRPr="004A7F1F">
        <w:t>CHR</w:t>
      </w:r>
      <w:r w:rsidR="005128B3" w:rsidRPr="004A7F1F">
        <w:t xml:space="preserve"> is listed in Annex II of EU Regulation 12</w:t>
      </w:r>
      <w:r w:rsidR="00BF17D2" w:rsidRPr="004A7F1F">
        <w:t>2</w:t>
      </w:r>
      <w:r w:rsidR="005128B3" w:rsidRPr="004A7F1F">
        <w:t xml:space="preserve">3/2009 </w:t>
      </w:r>
      <w:r w:rsidR="008E7698" w:rsidRPr="004A7F1F">
        <w:t xml:space="preserve">(Reference number 643) </w:t>
      </w:r>
      <w:r w:rsidR="00BF17D2" w:rsidRPr="004A7F1F">
        <w:t xml:space="preserve">as a substance which is prohibited in cosmetic products. </w:t>
      </w:r>
    </w:p>
    <w:p w14:paraId="5F8D72C3" w14:textId="77777777" w:rsidR="005128B3" w:rsidRPr="004A7F1F" w:rsidRDefault="005128B3" w:rsidP="00212038">
      <w:pPr>
        <w:pStyle w:val="ListParagraph"/>
        <w:ind w:left="0"/>
        <w:rPr>
          <w:caps/>
        </w:rPr>
      </w:pPr>
    </w:p>
    <w:p w14:paraId="50C28365" w14:textId="77777777" w:rsidR="005128B3" w:rsidRPr="004A7F1F" w:rsidRDefault="005128B3" w:rsidP="00212038">
      <w:pPr>
        <w:pStyle w:val="ListParagraph"/>
        <w:ind w:left="0"/>
        <w:rPr>
          <w:caps/>
        </w:rPr>
      </w:pPr>
    </w:p>
    <w:p w14:paraId="115C5D7C" w14:textId="77777777" w:rsidR="005E6402" w:rsidRPr="004A7F1F" w:rsidRDefault="0010600C" w:rsidP="0010600C">
      <w:pPr>
        <w:pStyle w:val="Heading2"/>
      </w:pPr>
      <w:bookmarkStart w:id="711" w:name="_Toc491868930"/>
      <w:r w:rsidRPr="004A7F1F">
        <w:t xml:space="preserve">11.4 </w:t>
      </w:r>
      <w:r w:rsidR="005E6402" w:rsidRPr="004A7F1F">
        <w:t>Previous assessments by other authorities</w:t>
      </w:r>
      <w:bookmarkEnd w:id="711"/>
    </w:p>
    <w:p w14:paraId="69A8F94D" w14:textId="040C883E" w:rsidR="000C38A3" w:rsidRPr="004A7F1F" w:rsidRDefault="008E7698" w:rsidP="00254640">
      <w:pPr>
        <w:pStyle w:val="BodyText"/>
        <w:jc w:val="both"/>
      </w:pPr>
      <w:r w:rsidRPr="004A7F1F">
        <w:t>CHR</w:t>
      </w:r>
      <w:r w:rsidR="00254640" w:rsidRPr="004A7F1F">
        <w:t xml:space="preserve"> belongs to the substance group of PAHs </w:t>
      </w:r>
      <w:r w:rsidR="0068276C" w:rsidRPr="004A7F1F">
        <w:t xml:space="preserve">of </w:t>
      </w:r>
      <w:r w:rsidR="00254640" w:rsidRPr="004A7F1F">
        <w:t xml:space="preserve">which </w:t>
      </w:r>
      <w:r w:rsidR="0068276C" w:rsidRPr="004A7F1F">
        <w:t xml:space="preserve">many </w:t>
      </w:r>
      <w:r w:rsidR="00254640" w:rsidRPr="004A7F1F">
        <w:t>are well-known to be hazardous for human health and the environment. Eight PAH</w:t>
      </w:r>
      <w:r w:rsidR="00EE0CF7" w:rsidRPr="004A7F1F">
        <w:t>s</w:t>
      </w:r>
      <w:r w:rsidR="00254640" w:rsidRPr="004A7F1F">
        <w:t xml:space="preserve">, including </w:t>
      </w:r>
      <w:r w:rsidRPr="004A7F1F">
        <w:t>CHR</w:t>
      </w:r>
      <w:r w:rsidR="00254640" w:rsidRPr="004A7F1F">
        <w:t xml:space="preserve"> which is carcinogenic, are already classified as CMR substances. Until now, several Annex XV dossiers for the identification of </w:t>
      </w:r>
      <w:r w:rsidR="000C38A3" w:rsidRPr="004A7F1F">
        <w:t>PAH</w:t>
      </w:r>
      <w:r w:rsidR="00EE0CF7" w:rsidRPr="004A7F1F">
        <w:t>s</w:t>
      </w:r>
      <w:r w:rsidR="000C38A3" w:rsidRPr="004A7F1F">
        <w:t xml:space="preserve"> as </w:t>
      </w:r>
      <w:r w:rsidR="00254640" w:rsidRPr="004A7F1F">
        <w:t xml:space="preserve">substances of very high concern based on </w:t>
      </w:r>
      <w:r w:rsidR="000C38A3" w:rsidRPr="004A7F1F">
        <w:t xml:space="preserve">their </w:t>
      </w:r>
      <w:r w:rsidRPr="004A7F1F">
        <w:t>PBT/</w:t>
      </w:r>
      <w:proofErr w:type="spellStart"/>
      <w:r w:rsidRPr="004A7F1F">
        <w:t>vPvB</w:t>
      </w:r>
      <w:proofErr w:type="spellEnd"/>
      <w:r w:rsidR="00254640" w:rsidRPr="004A7F1F">
        <w:t xml:space="preserve"> properties</w:t>
      </w:r>
      <w:r w:rsidR="000C38A3" w:rsidRPr="004A7F1F">
        <w:t xml:space="preserve"> (anthracene, B[a</w:t>
      </w:r>
      <w:proofErr w:type="gramStart"/>
      <w:r w:rsidR="000C38A3" w:rsidRPr="004A7F1F">
        <w:t>]P</w:t>
      </w:r>
      <w:proofErr w:type="gramEnd"/>
      <w:r w:rsidR="000C38A3" w:rsidRPr="004A7F1F">
        <w:t>)</w:t>
      </w:r>
      <w:r w:rsidR="00254640" w:rsidRPr="004A7F1F">
        <w:t xml:space="preserve"> </w:t>
      </w:r>
      <w:r w:rsidR="000C38A3" w:rsidRPr="004A7F1F">
        <w:t xml:space="preserve">or </w:t>
      </w:r>
      <w:r w:rsidRPr="004A7F1F">
        <w:t xml:space="preserve">on the intrinsic properties </w:t>
      </w:r>
      <w:r w:rsidR="00254640" w:rsidRPr="004A7F1F">
        <w:t xml:space="preserve">of </w:t>
      </w:r>
      <w:r w:rsidR="000C38A3" w:rsidRPr="004A7F1F">
        <w:t xml:space="preserve">their </w:t>
      </w:r>
      <w:r w:rsidR="00254640" w:rsidRPr="004A7F1F">
        <w:t>PAH</w:t>
      </w:r>
      <w:r w:rsidR="000C38A3" w:rsidRPr="004A7F1F">
        <w:t xml:space="preserve"> </w:t>
      </w:r>
      <w:r w:rsidR="00254640" w:rsidRPr="004A7F1F">
        <w:t xml:space="preserve">constituents </w:t>
      </w:r>
      <w:r w:rsidR="000C38A3" w:rsidRPr="004A7F1F">
        <w:t>(</w:t>
      </w:r>
      <w:r w:rsidR="00254640" w:rsidRPr="004A7F1F">
        <w:t>Anthracene Oils, CTPHT</w:t>
      </w:r>
      <w:r w:rsidR="000C38A3" w:rsidRPr="004A7F1F">
        <w:t>)</w:t>
      </w:r>
      <w:r w:rsidR="00254640" w:rsidRPr="004A7F1F">
        <w:t>.</w:t>
      </w:r>
    </w:p>
    <w:p w14:paraId="2CFE4A1A" w14:textId="200D1181" w:rsidR="002F55BA" w:rsidRDefault="002F55BA" w:rsidP="002F55BA">
      <w:pPr>
        <w:jc w:val="both"/>
      </w:pPr>
      <w:r w:rsidRPr="003E39C1">
        <w:rPr>
          <w:rFonts w:cs="Verdana"/>
          <w:lang w:eastAsia="en-GB"/>
        </w:rPr>
        <w:t xml:space="preserve">In the Support Document of Pitch, coal tar, high </w:t>
      </w:r>
      <w:r w:rsidRPr="00212DCD">
        <w:rPr>
          <w:rFonts w:cs="Verdana"/>
          <w:lang w:eastAsia="en-GB"/>
        </w:rPr>
        <w:t xml:space="preserve">temp. (CTPHT) it has been concluded by the </w:t>
      </w:r>
      <w:r w:rsidRPr="006D360C">
        <w:rPr>
          <w:rFonts w:cs="Verdana"/>
          <w:lang w:eastAsia="en-GB"/>
        </w:rPr>
        <w:t xml:space="preserve">Member State Committee (MSC) that </w:t>
      </w:r>
      <w:r>
        <w:rPr>
          <w:rFonts w:cs="Verdana"/>
          <w:lang w:eastAsia="en-GB"/>
        </w:rPr>
        <w:t xml:space="preserve">CHR </w:t>
      </w:r>
      <w:r w:rsidRPr="00CB4EB5">
        <w:rPr>
          <w:rFonts w:cs="Verdana"/>
          <w:lang w:eastAsia="en-GB"/>
        </w:rPr>
        <w:t xml:space="preserve">fulfils the </w:t>
      </w:r>
      <w:r>
        <w:rPr>
          <w:rFonts w:cs="Verdana"/>
          <w:lang w:eastAsia="en-GB"/>
        </w:rPr>
        <w:t xml:space="preserve">PBT and </w:t>
      </w:r>
      <w:proofErr w:type="spellStart"/>
      <w:r>
        <w:rPr>
          <w:rFonts w:cs="Verdana"/>
          <w:lang w:eastAsia="en-GB"/>
        </w:rPr>
        <w:t>vPvB</w:t>
      </w:r>
      <w:proofErr w:type="spellEnd"/>
      <w:r>
        <w:rPr>
          <w:rFonts w:cs="Verdana"/>
          <w:lang w:eastAsia="en-GB"/>
        </w:rPr>
        <w:t xml:space="preserve"> criteria of Annex XIII to the REACH Regulation (</w:t>
      </w:r>
      <w:r w:rsidRPr="00CB4EB5">
        <w:rPr>
          <w:rFonts w:cs="Verdana"/>
          <w:lang w:eastAsia="en-GB"/>
        </w:rPr>
        <w:t>ECHA, 2009)</w:t>
      </w:r>
      <w:r w:rsidRPr="00CB4EB5">
        <w:t xml:space="preserve">. </w:t>
      </w:r>
      <w:r w:rsidRPr="00D10FD9">
        <w:t>However,</w:t>
      </w:r>
      <w:r>
        <w:t xml:space="preserve"> </w:t>
      </w:r>
      <w:proofErr w:type="spellStart"/>
      <w:r w:rsidRPr="00D10FD9">
        <w:t>BaA</w:t>
      </w:r>
      <w:proofErr w:type="spellEnd"/>
      <w:r w:rsidRPr="00D10FD9">
        <w:t xml:space="preserve"> and further PAHs whose properties have already been agreed on by the MSC </w:t>
      </w:r>
      <w:r>
        <w:t>in the CTPHT SVHC identification process</w:t>
      </w:r>
      <w:r w:rsidRPr="00D10FD9">
        <w:t xml:space="preserve"> </w:t>
      </w:r>
      <w:r>
        <w:t xml:space="preserve">have </w:t>
      </w:r>
      <w:r w:rsidRPr="00D10FD9">
        <w:t xml:space="preserve">not </w:t>
      </w:r>
      <w:r w:rsidR="005D19B1">
        <w:t xml:space="preserve">yet </w:t>
      </w:r>
      <w:r w:rsidRPr="00D10FD9">
        <w:t>proposed for formal SVHC identification and inclusion in the Candidate List.</w:t>
      </w:r>
      <w:r>
        <w:t xml:space="preserve"> </w:t>
      </w:r>
    </w:p>
    <w:p w14:paraId="6D6652B7" w14:textId="77777777" w:rsidR="002F55BA" w:rsidRPr="00D10FD9" w:rsidRDefault="002F55BA" w:rsidP="002F55BA">
      <w:pPr>
        <w:jc w:val="both"/>
      </w:pPr>
    </w:p>
    <w:p w14:paraId="115C5D7E" w14:textId="05F7BA53" w:rsidR="00B12C39" w:rsidRPr="004A7F1F" w:rsidRDefault="00B12C39" w:rsidP="00525EFA">
      <w:pPr>
        <w:pStyle w:val="Referencetitle"/>
        <w:jc w:val="both"/>
      </w:pPr>
      <w:r w:rsidRPr="004A7F1F">
        <w:br w:type="page"/>
      </w:r>
    </w:p>
    <w:p w14:paraId="115C5D7F" w14:textId="7E9D1493" w:rsidR="00B12C39" w:rsidRPr="004A7F1F" w:rsidRDefault="00B12C39" w:rsidP="005857D8">
      <w:pPr>
        <w:pStyle w:val="Heading1"/>
        <w:numPr>
          <w:ilvl w:val="0"/>
          <w:numId w:val="0"/>
        </w:numPr>
      </w:pPr>
      <w:bookmarkStart w:id="712" w:name="_Toc341888677"/>
      <w:bookmarkStart w:id="713" w:name="_Toc342400537"/>
      <w:bookmarkStart w:id="714" w:name="_Toc354499698"/>
      <w:bookmarkStart w:id="715" w:name="_Toc357083776"/>
      <w:bookmarkStart w:id="716" w:name="_Toc357184321"/>
      <w:bookmarkStart w:id="717" w:name="_Toc357184557"/>
      <w:bookmarkStart w:id="718" w:name="_Toc357185359"/>
      <w:bookmarkStart w:id="719" w:name="_Toc357186207"/>
      <w:bookmarkStart w:id="720" w:name="_Toc357186356"/>
      <w:bookmarkStart w:id="721" w:name="_Toc357437645"/>
      <w:bookmarkStart w:id="722" w:name="_Toc357590915"/>
      <w:bookmarkStart w:id="723" w:name="_Toc357692947"/>
      <w:bookmarkStart w:id="724" w:name="_Toc365649775"/>
      <w:bookmarkStart w:id="725" w:name="_Toc365649924"/>
      <w:bookmarkStart w:id="726" w:name="_Toc366489971"/>
      <w:bookmarkStart w:id="727" w:name="_Toc418498646"/>
      <w:bookmarkStart w:id="728" w:name="_Toc418506101"/>
      <w:bookmarkStart w:id="729" w:name="_Toc491868931"/>
      <w:r w:rsidRPr="004A7F1F">
        <w:lastRenderedPageBreak/>
        <w:t>References for Part I</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14:paraId="32679932" w14:textId="77777777" w:rsidR="00313560" w:rsidRPr="002F55BA" w:rsidRDefault="00313560" w:rsidP="003B3C62">
      <w:pPr>
        <w:rPr>
          <w:lang w:eastAsia="en-US"/>
        </w:rPr>
      </w:pPr>
      <w:proofErr w:type="spellStart"/>
      <w:r w:rsidRPr="004A7F1F">
        <w:rPr>
          <w:lang w:eastAsia="en-US"/>
        </w:rPr>
        <w:t>Behymer</w:t>
      </w:r>
      <w:proofErr w:type="spellEnd"/>
      <w:r w:rsidRPr="004A7F1F">
        <w:rPr>
          <w:lang w:eastAsia="en-US"/>
        </w:rPr>
        <w:t xml:space="preserve"> T.D., </w:t>
      </w:r>
      <w:proofErr w:type="spellStart"/>
      <w:r w:rsidRPr="004A7F1F">
        <w:rPr>
          <w:lang w:eastAsia="en-US"/>
        </w:rPr>
        <w:t>Hites</w:t>
      </w:r>
      <w:proofErr w:type="spellEnd"/>
      <w:r w:rsidRPr="004A7F1F">
        <w:rPr>
          <w:lang w:eastAsia="en-US"/>
        </w:rPr>
        <w:t xml:space="preserve"> R.A. (1988): Photolysis of polycyclic aromatic hydrocarbons adsorbed on fly ash. </w:t>
      </w:r>
      <w:r w:rsidRPr="002F55BA">
        <w:rPr>
          <w:lang w:eastAsia="en-US"/>
        </w:rPr>
        <w:t>Environmental Science and Technology, 22(11), 1311-1319.</w:t>
      </w:r>
    </w:p>
    <w:p w14:paraId="0F2BD515" w14:textId="77777777" w:rsidR="00D011AE" w:rsidRPr="002F55BA" w:rsidRDefault="00D011AE" w:rsidP="003B3C62">
      <w:pPr>
        <w:rPr>
          <w:lang w:eastAsia="en-US"/>
        </w:rPr>
      </w:pPr>
    </w:p>
    <w:p w14:paraId="632FADE6" w14:textId="1731DCD0" w:rsidR="00AE6DE1" w:rsidRPr="004A7F1F" w:rsidRDefault="0055590F" w:rsidP="003B3C62">
      <w:pPr>
        <w:rPr>
          <w:lang w:eastAsia="en-US"/>
        </w:rPr>
      </w:pPr>
      <w:r w:rsidRPr="004A7F1F">
        <w:rPr>
          <w:lang w:eastAsia="en-US"/>
        </w:rPr>
        <w:t>Calvert J</w:t>
      </w:r>
      <w:r w:rsidR="006F4470" w:rsidRPr="004A7F1F">
        <w:rPr>
          <w:lang w:eastAsia="en-US"/>
        </w:rPr>
        <w:t>.</w:t>
      </w:r>
      <w:r w:rsidRPr="004A7F1F">
        <w:rPr>
          <w:lang w:eastAsia="en-US"/>
        </w:rPr>
        <w:t>G</w:t>
      </w:r>
      <w:r w:rsidR="006F4470" w:rsidRPr="004A7F1F">
        <w:rPr>
          <w:lang w:eastAsia="en-US"/>
        </w:rPr>
        <w:t>.</w:t>
      </w:r>
      <w:r w:rsidRPr="004A7F1F">
        <w:rPr>
          <w:lang w:eastAsia="en-US"/>
        </w:rPr>
        <w:t>, Atkinson R</w:t>
      </w:r>
      <w:r w:rsidR="006F4470" w:rsidRPr="004A7F1F">
        <w:rPr>
          <w:lang w:eastAsia="en-US"/>
        </w:rPr>
        <w:t>.</w:t>
      </w:r>
      <w:r w:rsidRPr="004A7F1F">
        <w:rPr>
          <w:lang w:eastAsia="en-US"/>
        </w:rPr>
        <w:t>, Becker K</w:t>
      </w:r>
      <w:r w:rsidR="006F4470" w:rsidRPr="004A7F1F">
        <w:rPr>
          <w:lang w:eastAsia="en-US"/>
        </w:rPr>
        <w:t>.</w:t>
      </w:r>
      <w:r w:rsidRPr="004A7F1F">
        <w:rPr>
          <w:lang w:eastAsia="en-US"/>
        </w:rPr>
        <w:t>H</w:t>
      </w:r>
      <w:r w:rsidR="006F4470" w:rsidRPr="004A7F1F">
        <w:rPr>
          <w:lang w:eastAsia="en-US"/>
        </w:rPr>
        <w:t>.</w:t>
      </w:r>
      <w:r w:rsidRPr="004A7F1F">
        <w:rPr>
          <w:lang w:eastAsia="en-US"/>
        </w:rPr>
        <w:t xml:space="preserve">, </w:t>
      </w:r>
      <w:proofErr w:type="spellStart"/>
      <w:r w:rsidRPr="004A7F1F">
        <w:rPr>
          <w:lang w:eastAsia="en-US"/>
        </w:rPr>
        <w:t>Kamens</w:t>
      </w:r>
      <w:proofErr w:type="spellEnd"/>
      <w:r w:rsidRPr="004A7F1F">
        <w:rPr>
          <w:lang w:eastAsia="en-US"/>
        </w:rPr>
        <w:t xml:space="preserve"> R</w:t>
      </w:r>
      <w:r w:rsidR="006F4470" w:rsidRPr="004A7F1F">
        <w:rPr>
          <w:lang w:eastAsia="en-US"/>
        </w:rPr>
        <w:t>.</w:t>
      </w:r>
      <w:r w:rsidRPr="004A7F1F">
        <w:rPr>
          <w:lang w:eastAsia="en-US"/>
        </w:rPr>
        <w:t>M</w:t>
      </w:r>
      <w:r w:rsidR="006F4470" w:rsidRPr="004A7F1F">
        <w:rPr>
          <w:lang w:eastAsia="en-US"/>
        </w:rPr>
        <w:t>.</w:t>
      </w:r>
      <w:r w:rsidRPr="004A7F1F">
        <w:rPr>
          <w:lang w:eastAsia="en-US"/>
        </w:rPr>
        <w:t xml:space="preserve">, </w:t>
      </w:r>
      <w:proofErr w:type="spellStart"/>
      <w:r w:rsidRPr="004A7F1F">
        <w:rPr>
          <w:lang w:eastAsia="en-US"/>
        </w:rPr>
        <w:t>Seinfled</w:t>
      </w:r>
      <w:proofErr w:type="spellEnd"/>
      <w:r w:rsidRPr="004A7F1F">
        <w:rPr>
          <w:lang w:eastAsia="en-US"/>
        </w:rPr>
        <w:t xml:space="preserve"> J</w:t>
      </w:r>
      <w:r w:rsidR="006F4470" w:rsidRPr="004A7F1F">
        <w:rPr>
          <w:lang w:eastAsia="en-US"/>
        </w:rPr>
        <w:t>.</w:t>
      </w:r>
      <w:r w:rsidRPr="004A7F1F">
        <w:rPr>
          <w:lang w:eastAsia="en-US"/>
        </w:rPr>
        <w:t>H</w:t>
      </w:r>
      <w:r w:rsidR="006F4470" w:rsidRPr="004A7F1F">
        <w:rPr>
          <w:lang w:eastAsia="en-US"/>
        </w:rPr>
        <w:t>.</w:t>
      </w:r>
      <w:r w:rsidRPr="004A7F1F">
        <w:rPr>
          <w:lang w:eastAsia="en-US"/>
        </w:rPr>
        <w:t>, Wallington T</w:t>
      </w:r>
      <w:r w:rsidR="006F4470" w:rsidRPr="004A7F1F">
        <w:rPr>
          <w:lang w:eastAsia="en-US"/>
        </w:rPr>
        <w:t>.</w:t>
      </w:r>
      <w:r w:rsidRPr="004A7F1F">
        <w:rPr>
          <w:lang w:eastAsia="en-US"/>
        </w:rPr>
        <w:t>J</w:t>
      </w:r>
      <w:r w:rsidR="006F4470" w:rsidRPr="004A7F1F">
        <w:rPr>
          <w:lang w:eastAsia="en-US"/>
        </w:rPr>
        <w:t>.</w:t>
      </w:r>
      <w:r w:rsidRPr="004A7F1F">
        <w:rPr>
          <w:lang w:eastAsia="en-US"/>
        </w:rPr>
        <w:t xml:space="preserve">, </w:t>
      </w:r>
      <w:proofErr w:type="spellStart"/>
      <w:r w:rsidRPr="004A7F1F">
        <w:rPr>
          <w:lang w:eastAsia="en-US"/>
        </w:rPr>
        <w:t>Yarwood</w:t>
      </w:r>
      <w:proofErr w:type="spellEnd"/>
      <w:r w:rsidRPr="004A7F1F">
        <w:rPr>
          <w:lang w:eastAsia="en-US"/>
        </w:rPr>
        <w:t xml:space="preserve"> G</w:t>
      </w:r>
      <w:r w:rsidR="006F4470" w:rsidRPr="004A7F1F">
        <w:rPr>
          <w:lang w:eastAsia="en-US"/>
        </w:rPr>
        <w:t>.</w:t>
      </w:r>
      <w:r w:rsidRPr="004A7F1F">
        <w:rPr>
          <w:lang w:eastAsia="en-US"/>
        </w:rPr>
        <w:t xml:space="preserve"> (2002) The </w:t>
      </w:r>
      <w:proofErr w:type="spellStart"/>
      <w:r w:rsidRPr="004A7F1F">
        <w:rPr>
          <w:lang w:eastAsia="en-US"/>
        </w:rPr>
        <w:t>Mechanims</w:t>
      </w:r>
      <w:proofErr w:type="spellEnd"/>
      <w:r w:rsidRPr="004A7F1F">
        <w:rPr>
          <w:lang w:eastAsia="en-US"/>
        </w:rPr>
        <w:t xml:space="preserve"> of Atmospheric Oxidation of Aromatic Hydrocarbons. Oxford, Oxford </w:t>
      </w:r>
      <w:proofErr w:type="spellStart"/>
      <w:r w:rsidRPr="004A7F1F">
        <w:rPr>
          <w:lang w:eastAsia="en-US"/>
        </w:rPr>
        <w:t>Universirt</w:t>
      </w:r>
      <w:proofErr w:type="spellEnd"/>
      <w:r w:rsidRPr="004A7F1F">
        <w:rPr>
          <w:lang w:eastAsia="en-US"/>
        </w:rPr>
        <w:t xml:space="preserve"> Press, 566</w:t>
      </w:r>
    </w:p>
    <w:p w14:paraId="2E300949" w14:textId="77777777" w:rsidR="00D011AE" w:rsidRPr="004A7F1F" w:rsidRDefault="00D011AE" w:rsidP="003B3C62">
      <w:pPr>
        <w:rPr>
          <w:lang w:eastAsia="en-US"/>
        </w:rPr>
      </w:pPr>
    </w:p>
    <w:p w14:paraId="1B45F52F" w14:textId="0CA347B3" w:rsidR="00CA4D74" w:rsidRPr="004A7F1F" w:rsidRDefault="00CA4D74" w:rsidP="003B3C62">
      <w:pPr>
        <w:rPr>
          <w:lang w:eastAsia="en-US"/>
        </w:rPr>
      </w:pPr>
      <w:proofErr w:type="spellStart"/>
      <w:r w:rsidRPr="004A7F1F">
        <w:rPr>
          <w:lang w:eastAsia="en-US"/>
        </w:rPr>
        <w:t>Coutant</w:t>
      </w:r>
      <w:proofErr w:type="spellEnd"/>
      <w:r w:rsidRPr="004A7F1F">
        <w:rPr>
          <w:lang w:eastAsia="en-US"/>
        </w:rPr>
        <w:t xml:space="preserve"> R</w:t>
      </w:r>
      <w:r w:rsidR="006F4470" w:rsidRPr="004A7F1F">
        <w:rPr>
          <w:lang w:eastAsia="en-US"/>
        </w:rPr>
        <w:t>.</w:t>
      </w:r>
      <w:r w:rsidRPr="004A7F1F">
        <w:rPr>
          <w:lang w:eastAsia="en-US"/>
        </w:rPr>
        <w:t>W</w:t>
      </w:r>
      <w:r w:rsidR="006F4470" w:rsidRPr="004A7F1F">
        <w:rPr>
          <w:lang w:eastAsia="en-US"/>
        </w:rPr>
        <w:t>.</w:t>
      </w:r>
      <w:r w:rsidRPr="004A7F1F">
        <w:rPr>
          <w:lang w:eastAsia="en-US"/>
        </w:rPr>
        <w:t>, Brown L</w:t>
      </w:r>
      <w:r w:rsidR="006F4470" w:rsidRPr="004A7F1F">
        <w:rPr>
          <w:lang w:eastAsia="en-US"/>
        </w:rPr>
        <w:t>.</w:t>
      </w:r>
      <w:r w:rsidRPr="004A7F1F">
        <w:rPr>
          <w:lang w:eastAsia="en-US"/>
        </w:rPr>
        <w:t>, Chuang J</w:t>
      </w:r>
      <w:r w:rsidR="006F4470" w:rsidRPr="004A7F1F">
        <w:rPr>
          <w:lang w:eastAsia="en-US"/>
        </w:rPr>
        <w:t>.</w:t>
      </w:r>
      <w:r w:rsidRPr="004A7F1F">
        <w:rPr>
          <w:lang w:eastAsia="en-US"/>
        </w:rPr>
        <w:t>C</w:t>
      </w:r>
      <w:r w:rsidR="006F4470" w:rsidRPr="004A7F1F">
        <w:rPr>
          <w:lang w:eastAsia="en-US"/>
        </w:rPr>
        <w:t>.</w:t>
      </w:r>
      <w:r w:rsidRPr="004A7F1F">
        <w:rPr>
          <w:lang w:eastAsia="en-US"/>
        </w:rPr>
        <w:t xml:space="preserve">, </w:t>
      </w:r>
      <w:proofErr w:type="spellStart"/>
      <w:r w:rsidRPr="004A7F1F">
        <w:rPr>
          <w:lang w:eastAsia="en-US"/>
        </w:rPr>
        <w:t>Riggin</w:t>
      </w:r>
      <w:proofErr w:type="spellEnd"/>
      <w:r w:rsidRPr="004A7F1F">
        <w:rPr>
          <w:lang w:eastAsia="en-US"/>
        </w:rPr>
        <w:t xml:space="preserve"> R</w:t>
      </w:r>
      <w:r w:rsidR="006F4470" w:rsidRPr="004A7F1F">
        <w:rPr>
          <w:lang w:eastAsia="en-US"/>
        </w:rPr>
        <w:t>.</w:t>
      </w:r>
      <w:r w:rsidRPr="004A7F1F">
        <w:rPr>
          <w:lang w:eastAsia="en-US"/>
        </w:rPr>
        <w:t>M</w:t>
      </w:r>
      <w:r w:rsidR="006F4470" w:rsidRPr="004A7F1F">
        <w:rPr>
          <w:lang w:eastAsia="en-US"/>
        </w:rPr>
        <w:t>.</w:t>
      </w:r>
      <w:r w:rsidRPr="004A7F1F">
        <w:rPr>
          <w:lang w:eastAsia="en-US"/>
        </w:rPr>
        <w:t>, Lewis R</w:t>
      </w:r>
      <w:r w:rsidR="006F4470" w:rsidRPr="004A7F1F">
        <w:rPr>
          <w:lang w:eastAsia="en-US"/>
        </w:rPr>
        <w:t>.</w:t>
      </w:r>
      <w:r w:rsidRPr="004A7F1F">
        <w:rPr>
          <w:lang w:eastAsia="en-US"/>
        </w:rPr>
        <w:t>G</w:t>
      </w:r>
      <w:r w:rsidR="006F4470" w:rsidRPr="004A7F1F">
        <w:rPr>
          <w:lang w:eastAsia="en-US"/>
        </w:rPr>
        <w:t>.</w:t>
      </w:r>
      <w:r w:rsidRPr="004A7F1F">
        <w:rPr>
          <w:lang w:eastAsia="en-US"/>
        </w:rPr>
        <w:t xml:space="preserve"> (1988) Phase distribution and </w:t>
      </w:r>
      <w:proofErr w:type="spellStart"/>
      <w:r w:rsidRPr="004A7F1F">
        <w:rPr>
          <w:lang w:eastAsia="en-US"/>
        </w:rPr>
        <w:t>artifact</w:t>
      </w:r>
      <w:proofErr w:type="spellEnd"/>
      <w:r w:rsidRPr="004A7F1F">
        <w:rPr>
          <w:lang w:eastAsia="en-US"/>
        </w:rPr>
        <w:t xml:space="preserve"> formation in ambient air sampling for </w:t>
      </w:r>
      <w:proofErr w:type="spellStart"/>
      <w:r w:rsidRPr="004A7F1F">
        <w:rPr>
          <w:lang w:eastAsia="en-US"/>
        </w:rPr>
        <w:t>polynuclear</w:t>
      </w:r>
      <w:proofErr w:type="spellEnd"/>
      <w:r w:rsidRPr="004A7F1F">
        <w:rPr>
          <w:lang w:eastAsia="en-US"/>
        </w:rPr>
        <w:t xml:space="preserve"> aromatic hydrocarbons. </w:t>
      </w:r>
      <w:proofErr w:type="spellStart"/>
      <w:r w:rsidRPr="004A7F1F">
        <w:rPr>
          <w:lang w:eastAsia="en-US"/>
        </w:rPr>
        <w:t>Atmosph</w:t>
      </w:r>
      <w:proofErr w:type="spellEnd"/>
      <w:r w:rsidRPr="004A7F1F">
        <w:rPr>
          <w:lang w:eastAsia="en-US"/>
        </w:rPr>
        <w:t xml:space="preserve">. </w:t>
      </w:r>
      <w:proofErr w:type="gramStart"/>
      <w:r w:rsidRPr="004A7F1F">
        <w:rPr>
          <w:lang w:eastAsia="en-US"/>
        </w:rPr>
        <w:t>Environ.,</w:t>
      </w:r>
      <w:proofErr w:type="gramEnd"/>
      <w:r w:rsidRPr="004A7F1F">
        <w:rPr>
          <w:lang w:eastAsia="en-US"/>
        </w:rPr>
        <w:t xml:space="preserve"> 22, 403-409</w:t>
      </w:r>
    </w:p>
    <w:p w14:paraId="6A4842EA" w14:textId="77777777" w:rsidR="00D011AE" w:rsidRPr="004A7F1F" w:rsidRDefault="00D011AE" w:rsidP="003B3C62">
      <w:pPr>
        <w:rPr>
          <w:lang w:eastAsia="en-US"/>
        </w:rPr>
      </w:pPr>
    </w:p>
    <w:p w14:paraId="64DFFBD8" w14:textId="0566315E" w:rsidR="007E35CE" w:rsidRDefault="007E35CE" w:rsidP="003B3C62">
      <w:pPr>
        <w:rPr>
          <w:lang w:eastAsia="en-US"/>
        </w:rPr>
      </w:pPr>
      <w:r w:rsidRPr="004A7F1F">
        <w:rPr>
          <w:lang w:eastAsia="en-US"/>
        </w:rPr>
        <w:t>Durant N</w:t>
      </w:r>
      <w:r w:rsidR="006F4470" w:rsidRPr="004A7F1F">
        <w:rPr>
          <w:lang w:eastAsia="en-US"/>
        </w:rPr>
        <w:t>.</w:t>
      </w:r>
      <w:r w:rsidRPr="004A7F1F">
        <w:rPr>
          <w:lang w:eastAsia="en-US"/>
        </w:rPr>
        <w:t>D</w:t>
      </w:r>
      <w:r w:rsidR="006F4470" w:rsidRPr="004A7F1F">
        <w:rPr>
          <w:lang w:eastAsia="en-US"/>
        </w:rPr>
        <w:t>.</w:t>
      </w:r>
      <w:r w:rsidRPr="004A7F1F">
        <w:rPr>
          <w:lang w:eastAsia="en-US"/>
        </w:rPr>
        <w:t>, Wilson L</w:t>
      </w:r>
      <w:r w:rsidR="006F4470" w:rsidRPr="004A7F1F">
        <w:rPr>
          <w:lang w:eastAsia="en-US"/>
        </w:rPr>
        <w:t>.</w:t>
      </w:r>
      <w:r w:rsidRPr="004A7F1F">
        <w:rPr>
          <w:lang w:eastAsia="en-US"/>
        </w:rPr>
        <w:t>P</w:t>
      </w:r>
      <w:r w:rsidR="006F4470" w:rsidRPr="004A7F1F">
        <w:rPr>
          <w:lang w:eastAsia="en-US"/>
        </w:rPr>
        <w:t>.</w:t>
      </w:r>
      <w:r w:rsidRPr="004A7F1F">
        <w:rPr>
          <w:lang w:eastAsia="en-US"/>
        </w:rPr>
        <w:t>, and Bouwer E</w:t>
      </w:r>
      <w:r w:rsidR="006F4470" w:rsidRPr="004A7F1F">
        <w:rPr>
          <w:lang w:eastAsia="en-US"/>
        </w:rPr>
        <w:t>.</w:t>
      </w:r>
      <w:r w:rsidRPr="004A7F1F">
        <w:rPr>
          <w:lang w:eastAsia="en-US"/>
        </w:rPr>
        <w:t>J</w:t>
      </w:r>
      <w:r w:rsidR="006F4470" w:rsidRPr="004A7F1F">
        <w:rPr>
          <w:lang w:eastAsia="en-US"/>
        </w:rPr>
        <w:t>.</w:t>
      </w:r>
      <w:r w:rsidRPr="004A7F1F">
        <w:rPr>
          <w:lang w:eastAsia="en-US"/>
        </w:rPr>
        <w:t xml:space="preserve"> (1995) Microcosm studies of </w:t>
      </w:r>
      <w:proofErr w:type="spellStart"/>
      <w:r w:rsidRPr="004A7F1F">
        <w:rPr>
          <w:lang w:eastAsia="en-US"/>
        </w:rPr>
        <w:t>sunsurface</w:t>
      </w:r>
      <w:proofErr w:type="spellEnd"/>
      <w:r w:rsidRPr="004A7F1F">
        <w:rPr>
          <w:lang w:eastAsia="en-US"/>
        </w:rPr>
        <w:t xml:space="preserve"> PAH-degrading bacteria from a former manufactured gas plant. J </w:t>
      </w:r>
      <w:proofErr w:type="spellStart"/>
      <w:r w:rsidRPr="004A7F1F">
        <w:rPr>
          <w:lang w:eastAsia="en-US"/>
        </w:rPr>
        <w:t>Contam</w:t>
      </w:r>
      <w:proofErr w:type="spellEnd"/>
      <w:r w:rsidRPr="004A7F1F">
        <w:rPr>
          <w:lang w:eastAsia="en-US"/>
        </w:rPr>
        <w:t xml:space="preserve">. </w:t>
      </w:r>
      <w:proofErr w:type="spellStart"/>
      <w:proofErr w:type="gramStart"/>
      <w:r w:rsidRPr="004A7F1F">
        <w:rPr>
          <w:lang w:eastAsia="en-US"/>
        </w:rPr>
        <w:t>Hydrol</w:t>
      </w:r>
      <w:proofErr w:type="spellEnd"/>
      <w:r w:rsidRPr="004A7F1F">
        <w:rPr>
          <w:lang w:eastAsia="en-US"/>
        </w:rPr>
        <w:t>.,</w:t>
      </w:r>
      <w:proofErr w:type="gramEnd"/>
      <w:r w:rsidRPr="004A7F1F">
        <w:rPr>
          <w:lang w:eastAsia="en-US"/>
        </w:rPr>
        <w:t xml:space="preserve"> 17, 213-223</w:t>
      </w:r>
    </w:p>
    <w:p w14:paraId="60DF033F" w14:textId="77777777" w:rsidR="00147611" w:rsidRPr="004A7F1F" w:rsidRDefault="00147611" w:rsidP="003B3C62">
      <w:pPr>
        <w:rPr>
          <w:lang w:eastAsia="en-US"/>
        </w:rPr>
      </w:pPr>
    </w:p>
    <w:p w14:paraId="5EFE67BF" w14:textId="77777777" w:rsidR="00147611" w:rsidRPr="004A7F1F" w:rsidRDefault="00147611" w:rsidP="00147611">
      <w:pPr>
        <w:rPr>
          <w:lang w:eastAsia="en-US"/>
        </w:rPr>
      </w:pPr>
      <w:r>
        <w:rPr>
          <w:lang w:eastAsia="en-US"/>
        </w:rPr>
        <w:t>EC</w:t>
      </w:r>
      <w:r w:rsidRPr="004A7F1F">
        <w:rPr>
          <w:lang w:eastAsia="en-US"/>
        </w:rPr>
        <w:t xml:space="preserve"> (2008): European Union Risk Assessment Report, Coal Tar Pitch High Temperature, CAS No: 65996-93-2, EINECS No: 266-028-2.</w:t>
      </w:r>
    </w:p>
    <w:p w14:paraId="66986A79" w14:textId="77777777" w:rsidR="00D011AE" w:rsidRPr="004A7F1F" w:rsidRDefault="00D011AE" w:rsidP="003B3C62">
      <w:pPr>
        <w:rPr>
          <w:lang w:eastAsia="en-US"/>
        </w:rPr>
      </w:pPr>
    </w:p>
    <w:p w14:paraId="0666D875" w14:textId="3490EF6B" w:rsidR="00313560" w:rsidRPr="004A7F1F" w:rsidRDefault="00313560" w:rsidP="003B3C62">
      <w:pPr>
        <w:rPr>
          <w:lang w:eastAsia="en-US"/>
        </w:rPr>
      </w:pPr>
      <w:r w:rsidRPr="004A7F1F">
        <w:rPr>
          <w:lang w:eastAsia="en-US"/>
        </w:rPr>
        <w:t>ECHA (2009): Support Document for identification of Coal Tar Pitch, High Temperature as a SVHC because of its PBT and CMR properties.</w:t>
      </w:r>
      <w:r w:rsidR="0055590F" w:rsidRPr="004A7F1F">
        <w:rPr>
          <w:lang w:eastAsia="en-US"/>
        </w:rPr>
        <w:t xml:space="preserve"> </w:t>
      </w:r>
      <w:hyperlink r:id="rId13" w:history="1">
        <w:r w:rsidR="00D011AE" w:rsidRPr="003E39C1">
          <w:rPr>
            <w:rStyle w:val="Hyperlink"/>
            <w:lang w:eastAsia="en-US"/>
          </w:rPr>
          <w:t>http://echa.europa.eu/documents/10162/73d246d4-8c2a-4150-b656-c15948bf0e77</w:t>
        </w:r>
      </w:hyperlink>
    </w:p>
    <w:p w14:paraId="0039891D" w14:textId="77777777" w:rsidR="00D011AE" w:rsidRPr="003E39C1" w:rsidRDefault="00D011AE" w:rsidP="003B3C62">
      <w:pPr>
        <w:rPr>
          <w:lang w:eastAsia="en-US"/>
        </w:rPr>
      </w:pPr>
    </w:p>
    <w:p w14:paraId="4C7CCABE" w14:textId="4DEE40A2" w:rsidR="00F26CAB" w:rsidRPr="004A7F1F" w:rsidRDefault="00F26CAB" w:rsidP="003B3C62">
      <w:pPr>
        <w:rPr>
          <w:lang w:eastAsia="en-US"/>
        </w:rPr>
      </w:pPr>
      <w:proofErr w:type="spellStart"/>
      <w:r w:rsidRPr="004A7F1F">
        <w:rPr>
          <w:lang w:eastAsia="en-US"/>
        </w:rPr>
        <w:t>Freitag</w:t>
      </w:r>
      <w:proofErr w:type="spellEnd"/>
      <w:r w:rsidRPr="004A7F1F">
        <w:rPr>
          <w:lang w:eastAsia="en-US"/>
        </w:rPr>
        <w:t xml:space="preserve"> D</w:t>
      </w:r>
      <w:r w:rsidR="006F4470" w:rsidRPr="004A7F1F">
        <w:rPr>
          <w:lang w:eastAsia="en-US"/>
        </w:rPr>
        <w:t>.</w:t>
      </w:r>
      <w:r w:rsidRPr="004A7F1F">
        <w:rPr>
          <w:lang w:eastAsia="en-US"/>
        </w:rPr>
        <w:t>L</w:t>
      </w:r>
      <w:r w:rsidR="006F4470" w:rsidRPr="004A7F1F">
        <w:rPr>
          <w:lang w:eastAsia="en-US"/>
        </w:rPr>
        <w:t>.</w:t>
      </w:r>
      <w:r w:rsidRPr="004A7F1F">
        <w:rPr>
          <w:lang w:eastAsia="en-US"/>
        </w:rPr>
        <w:t xml:space="preserve">, </w:t>
      </w:r>
      <w:proofErr w:type="spellStart"/>
      <w:r w:rsidRPr="004A7F1F">
        <w:rPr>
          <w:lang w:eastAsia="en-US"/>
        </w:rPr>
        <w:t>Ballhorn</w:t>
      </w:r>
      <w:proofErr w:type="spellEnd"/>
      <w:r w:rsidRPr="004A7F1F">
        <w:rPr>
          <w:lang w:eastAsia="en-US"/>
        </w:rPr>
        <w:t xml:space="preserve"> L</w:t>
      </w:r>
      <w:r w:rsidR="006F4470" w:rsidRPr="004A7F1F">
        <w:rPr>
          <w:lang w:eastAsia="en-US"/>
        </w:rPr>
        <w:t>.</w:t>
      </w:r>
      <w:r w:rsidRPr="004A7F1F">
        <w:rPr>
          <w:lang w:eastAsia="en-US"/>
        </w:rPr>
        <w:t>, Geyer H</w:t>
      </w:r>
      <w:r w:rsidR="006F4470" w:rsidRPr="004A7F1F">
        <w:rPr>
          <w:lang w:eastAsia="en-US"/>
        </w:rPr>
        <w:t>.</w:t>
      </w:r>
      <w:r w:rsidRPr="004A7F1F">
        <w:rPr>
          <w:lang w:eastAsia="en-US"/>
        </w:rPr>
        <w:t xml:space="preserve">, </w:t>
      </w:r>
      <w:proofErr w:type="spellStart"/>
      <w:r w:rsidRPr="004A7F1F">
        <w:rPr>
          <w:lang w:eastAsia="en-US"/>
        </w:rPr>
        <w:t>Korte</w:t>
      </w:r>
      <w:proofErr w:type="spellEnd"/>
      <w:r w:rsidRPr="004A7F1F">
        <w:rPr>
          <w:lang w:eastAsia="en-US"/>
        </w:rPr>
        <w:t xml:space="preserve"> F</w:t>
      </w:r>
      <w:r w:rsidR="006F4470" w:rsidRPr="004A7F1F">
        <w:rPr>
          <w:lang w:eastAsia="en-US"/>
        </w:rPr>
        <w:t>.</w:t>
      </w:r>
      <w:r w:rsidRPr="004A7F1F">
        <w:rPr>
          <w:lang w:eastAsia="en-US"/>
        </w:rPr>
        <w:t xml:space="preserve"> (1985) Environmental hazard profile of organic chemicals. An experimental method for the assessment of the behaviour of organic chemicals in the ecosphere by means of simple laboratory tests with 14C labelled chemicals. Chemosphere 14: 1589-1616.</w:t>
      </w:r>
    </w:p>
    <w:p w14:paraId="4FA56EDF" w14:textId="48325B98" w:rsidR="00D011AE" w:rsidRPr="004A7F1F" w:rsidRDefault="00D011AE" w:rsidP="003B3C62">
      <w:pPr>
        <w:rPr>
          <w:lang w:eastAsia="en-US"/>
        </w:rPr>
      </w:pPr>
    </w:p>
    <w:p w14:paraId="5EFF1734" w14:textId="2563107E" w:rsidR="007839C0" w:rsidRPr="00DC41FB" w:rsidRDefault="007839C0" w:rsidP="003B3C62">
      <w:pPr>
        <w:rPr>
          <w:lang w:val="de-DE" w:eastAsia="en-US"/>
        </w:rPr>
      </w:pPr>
      <w:proofErr w:type="spellStart"/>
      <w:r w:rsidRPr="004A7F1F">
        <w:rPr>
          <w:lang w:eastAsia="en-US"/>
        </w:rPr>
        <w:t>Grosjean</w:t>
      </w:r>
      <w:proofErr w:type="spellEnd"/>
      <w:r w:rsidRPr="004A7F1F">
        <w:rPr>
          <w:lang w:eastAsia="en-US"/>
        </w:rPr>
        <w:t xml:space="preserve"> D</w:t>
      </w:r>
      <w:r w:rsidR="006F4470" w:rsidRPr="004A7F1F">
        <w:rPr>
          <w:lang w:eastAsia="en-US"/>
        </w:rPr>
        <w:t>.</w:t>
      </w:r>
      <w:r w:rsidRPr="004A7F1F">
        <w:rPr>
          <w:lang w:eastAsia="en-US"/>
        </w:rPr>
        <w:t>, Fung K</w:t>
      </w:r>
      <w:r w:rsidR="006F4470" w:rsidRPr="004A7F1F">
        <w:rPr>
          <w:lang w:eastAsia="en-US"/>
        </w:rPr>
        <w:t>.</w:t>
      </w:r>
      <w:r w:rsidRPr="004A7F1F">
        <w:rPr>
          <w:lang w:eastAsia="en-US"/>
        </w:rPr>
        <w:t>, Harrison J</w:t>
      </w:r>
      <w:r w:rsidR="006F4470" w:rsidRPr="004A7F1F">
        <w:rPr>
          <w:lang w:eastAsia="en-US"/>
        </w:rPr>
        <w:t>.</w:t>
      </w:r>
      <w:r w:rsidRPr="004A7F1F">
        <w:rPr>
          <w:lang w:eastAsia="en-US"/>
        </w:rPr>
        <w:t xml:space="preserve"> (1983) Interactions of polycyclic aromatic hydrocarbons with atmospheric pollutants. </w:t>
      </w:r>
      <w:proofErr w:type="spellStart"/>
      <w:r w:rsidRPr="00DC41FB">
        <w:rPr>
          <w:lang w:val="de-DE" w:eastAsia="en-US"/>
        </w:rPr>
        <w:t>Environ</w:t>
      </w:r>
      <w:proofErr w:type="spellEnd"/>
      <w:r w:rsidRPr="00DC41FB">
        <w:rPr>
          <w:lang w:val="de-DE" w:eastAsia="en-US"/>
        </w:rPr>
        <w:t>. Sc. Tech., 17, 673-679</w:t>
      </w:r>
    </w:p>
    <w:p w14:paraId="18979311" w14:textId="77777777" w:rsidR="00D011AE" w:rsidRPr="00DC41FB" w:rsidRDefault="00D011AE" w:rsidP="003B3C62">
      <w:pPr>
        <w:rPr>
          <w:lang w:val="de-DE" w:eastAsia="en-US"/>
        </w:rPr>
      </w:pPr>
    </w:p>
    <w:p w14:paraId="134B2BB2" w14:textId="1DDFDBB1" w:rsidR="00306F9C" w:rsidRPr="00DC41FB" w:rsidRDefault="00306F9C" w:rsidP="003B3C62">
      <w:pPr>
        <w:rPr>
          <w:lang w:val="de-DE" w:eastAsia="en-US"/>
        </w:rPr>
      </w:pPr>
      <w:r w:rsidRPr="00DC41FB">
        <w:rPr>
          <w:lang w:val="de-DE" w:eastAsia="en-US"/>
        </w:rPr>
        <w:t>GSBL, Gemeinsamer Stoffdatenpool Bund/Länder: http://www.gsbl.de/</w:t>
      </w:r>
    </w:p>
    <w:p w14:paraId="126DA477" w14:textId="77777777" w:rsidR="00306F9C" w:rsidRPr="00DC41FB" w:rsidRDefault="00306F9C" w:rsidP="003B3C62">
      <w:pPr>
        <w:rPr>
          <w:lang w:val="de-DE" w:eastAsia="en-US"/>
        </w:rPr>
      </w:pPr>
    </w:p>
    <w:p w14:paraId="355BFA07" w14:textId="77777777" w:rsidR="00306F9C" w:rsidRPr="00306F9C" w:rsidRDefault="00306F9C" w:rsidP="00306F9C">
      <w:pPr>
        <w:rPr>
          <w:lang w:eastAsia="en-US"/>
        </w:rPr>
      </w:pPr>
      <w:r w:rsidRPr="00306F9C">
        <w:rPr>
          <w:lang w:eastAsia="en-US"/>
        </w:rPr>
        <w:t xml:space="preserve">Holst LL, </w:t>
      </w:r>
      <w:proofErr w:type="spellStart"/>
      <w:r w:rsidRPr="00306F9C">
        <w:rPr>
          <w:lang w:eastAsia="en-US"/>
        </w:rPr>
        <w:t>Giesy</w:t>
      </w:r>
      <w:proofErr w:type="spellEnd"/>
      <w:r w:rsidRPr="00306F9C">
        <w:rPr>
          <w:lang w:eastAsia="en-US"/>
        </w:rPr>
        <w:t xml:space="preserve"> JP (1989) Chronic effects of the </w:t>
      </w:r>
      <w:proofErr w:type="spellStart"/>
      <w:r w:rsidRPr="00306F9C">
        <w:rPr>
          <w:lang w:eastAsia="en-US"/>
        </w:rPr>
        <w:t>photoenhanced</w:t>
      </w:r>
      <w:proofErr w:type="spellEnd"/>
      <w:r w:rsidRPr="00306F9C">
        <w:rPr>
          <w:lang w:eastAsia="en-US"/>
        </w:rPr>
        <w:t xml:space="preserve"> toxicity of anthracene on Daphnia magna reproduction. Environ </w:t>
      </w:r>
      <w:proofErr w:type="spellStart"/>
      <w:r w:rsidRPr="00306F9C">
        <w:rPr>
          <w:lang w:eastAsia="en-US"/>
        </w:rPr>
        <w:t>Toxicol</w:t>
      </w:r>
      <w:proofErr w:type="spellEnd"/>
      <w:r w:rsidRPr="00306F9C">
        <w:rPr>
          <w:lang w:eastAsia="en-US"/>
        </w:rPr>
        <w:t xml:space="preserve"> </w:t>
      </w:r>
      <w:proofErr w:type="spellStart"/>
      <w:r w:rsidRPr="00306F9C">
        <w:rPr>
          <w:lang w:eastAsia="en-US"/>
        </w:rPr>
        <w:t>Chem</w:t>
      </w:r>
      <w:proofErr w:type="spellEnd"/>
      <w:r w:rsidRPr="00306F9C">
        <w:rPr>
          <w:lang w:eastAsia="en-US"/>
        </w:rPr>
        <w:t xml:space="preserve"> 8: 933-942.</w:t>
      </w:r>
    </w:p>
    <w:p w14:paraId="6AE4B9DB" w14:textId="77777777" w:rsidR="00306F9C" w:rsidRPr="004A7F1F" w:rsidRDefault="00306F9C" w:rsidP="003B3C62">
      <w:pPr>
        <w:rPr>
          <w:lang w:eastAsia="en-US"/>
        </w:rPr>
      </w:pPr>
    </w:p>
    <w:p w14:paraId="54F36CE4" w14:textId="29C3A4F5" w:rsidR="001E4374" w:rsidRPr="004A7F1F" w:rsidRDefault="001E4374" w:rsidP="003B3C62">
      <w:pPr>
        <w:rPr>
          <w:lang w:eastAsia="en-US"/>
        </w:rPr>
      </w:pPr>
      <w:proofErr w:type="spellStart"/>
      <w:r w:rsidRPr="004A7F1F">
        <w:rPr>
          <w:lang w:eastAsia="en-US"/>
        </w:rPr>
        <w:t>Kamens</w:t>
      </w:r>
      <w:proofErr w:type="spellEnd"/>
      <w:r w:rsidRPr="004A7F1F">
        <w:rPr>
          <w:lang w:eastAsia="en-US"/>
        </w:rPr>
        <w:t xml:space="preserve"> R</w:t>
      </w:r>
      <w:r w:rsidR="006F4470" w:rsidRPr="004A7F1F">
        <w:rPr>
          <w:lang w:eastAsia="en-US"/>
        </w:rPr>
        <w:t>.</w:t>
      </w:r>
      <w:r w:rsidRPr="004A7F1F">
        <w:rPr>
          <w:lang w:eastAsia="en-US"/>
        </w:rPr>
        <w:t>M</w:t>
      </w:r>
      <w:r w:rsidR="006F4470" w:rsidRPr="004A7F1F">
        <w:rPr>
          <w:lang w:eastAsia="en-US"/>
        </w:rPr>
        <w:t>.</w:t>
      </w:r>
      <w:r w:rsidRPr="004A7F1F">
        <w:rPr>
          <w:lang w:eastAsia="en-US"/>
        </w:rPr>
        <w:t xml:space="preserve">, </w:t>
      </w:r>
      <w:proofErr w:type="spellStart"/>
      <w:r w:rsidRPr="004A7F1F">
        <w:rPr>
          <w:lang w:eastAsia="en-US"/>
        </w:rPr>
        <w:t>Guo</w:t>
      </w:r>
      <w:proofErr w:type="spellEnd"/>
      <w:r w:rsidRPr="004A7F1F">
        <w:rPr>
          <w:lang w:eastAsia="en-US"/>
        </w:rPr>
        <w:t xml:space="preserve"> Z</w:t>
      </w:r>
      <w:r w:rsidR="006F4470" w:rsidRPr="004A7F1F">
        <w:rPr>
          <w:lang w:eastAsia="en-US"/>
        </w:rPr>
        <w:t>.</w:t>
      </w:r>
      <w:r w:rsidRPr="004A7F1F">
        <w:rPr>
          <w:lang w:eastAsia="en-US"/>
        </w:rPr>
        <w:t>, Fulcher J</w:t>
      </w:r>
      <w:r w:rsidR="006F4470" w:rsidRPr="004A7F1F">
        <w:rPr>
          <w:lang w:eastAsia="en-US"/>
        </w:rPr>
        <w:t>.</w:t>
      </w:r>
      <w:r w:rsidRPr="004A7F1F">
        <w:rPr>
          <w:lang w:eastAsia="en-US"/>
        </w:rPr>
        <w:t>N</w:t>
      </w:r>
      <w:r w:rsidR="006F4470" w:rsidRPr="004A7F1F">
        <w:rPr>
          <w:lang w:eastAsia="en-US"/>
        </w:rPr>
        <w:t>.</w:t>
      </w:r>
      <w:r w:rsidRPr="004A7F1F">
        <w:rPr>
          <w:lang w:eastAsia="en-US"/>
        </w:rPr>
        <w:t>, and Bell D</w:t>
      </w:r>
      <w:r w:rsidR="006F4470" w:rsidRPr="004A7F1F">
        <w:rPr>
          <w:lang w:eastAsia="en-US"/>
        </w:rPr>
        <w:t>.</w:t>
      </w:r>
      <w:r w:rsidRPr="004A7F1F">
        <w:rPr>
          <w:lang w:eastAsia="en-US"/>
        </w:rPr>
        <w:t>A</w:t>
      </w:r>
      <w:r w:rsidR="006F4470" w:rsidRPr="004A7F1F">
        <w:rPr>
          <w:lang w:eastAsia="en-US"/>
        </w:rPr>
        <w:t>.</w:t>
      </w:r>
      <w:r w:rsidRPr="004A7F1F">
        <w:rPr>
          <w:lang w:eastAsia="en-US"/>
        </w:rPr>
        <w:t xml:space="preserve"> (1988) Influence of humidity, sunlight, and temperature on the daytime decay of </w:t>
      </w:r>
      <w:proofErr w:type="spellStart"/>
      <w:r w:rsidRPr="004A7F1F">
        <w:rPr>
          <w:lang w:eastAsia="en-US"/>
        </w:rPr>
        <w:t>polyaromatic</w:t>
      </w:r>
      <w:proofErr w:type="spellEnd"/>
      <w:r w:rsidRPr="004A7F1F">
        <w:rPr>
          <w:lang w:eastAsia="en-US"/>
        </w:rPr>
        <w:t xml:space="preserve"> hydrocarbons on atmospheric soot particles Environ. Sc. Tech., 22, 103-108</w:t>
      </w:r>
    </w:p>
    <w:p w14:paraId="198CAF89" w14:textId="77777777" w:rsidR="00D011AE" w:rsidRPr="004A7F1F" w:rsidRDefault="00D011AE" w:rsidP="003B3C62">
      <w:pPr>
        <w:rPr>
          <w:lang w:eastAsia="en-US"/>
        </w:rPr>
      </w:pPr>
    </w:p>
    <w:p w14:paraId="3945D311" w14:textId="6BE204DA" w:rsidR="001E4374" w:rsidRPr="004A7F1F" w:rsidRDefault="001E4374" w:rsidP="003B3C62">
      <w:pPr>
        <w:rPr>
          <w:lang w:eastAsia="en-US"/>
        </w:rPr>
      </w:pPr>
      <w:proofErr w:type="spellStart"/>
      <w:r w:rsidRPr="004A7F1F">
        <w:rPr>
          <w:lang w:eastAsia="en-US"/>
        </w:rPr>
        <w:t>Kamens</w:t>
      </w:r>
      <w:proofErr w:type="spellEnd"/>
      <w:r w:rsidRPr="004A7F1F">
        <w:rPr>
          <w:lang w:eastAsia="en-US"/>
        </w:rPr>
        <w:t xml:space="preserve"> R</w:t>
      </w:r>
      <w:r w:rsidR="00522555" w:rsidRPr="004A7F1F">
        <w:rPr>
          <w:lang w:eastAsia="en-US"/>
        </w:rPr>
        <w:t>.</w:t>
      </w:r>
      <w:r w:rsidRPr="004A7F1F">
        <w:rPr>
          <w:lang w:eastAsia="en-US"/>
        </w:rPr>
        <w:t>M</w:t>
      </w:r>
      <w:r w:rsidR="00522555" w:rsidRPr="004A7F1F">
        <w:rPr>
          <w:lang w:eastAsia="en-US"/>
        </w:rPr>
        <w:t>.</w:t>
      </w:r>
      <w:r w:rsidRPr="004A7F1F">
        <w:rPr>
          <w:lang w:eastAsia="en-US"/>
        </w:rPr>
        <w:t xml:space="preserve">, </w:t>
      </w:r>
      <w:proofErr w:type="spellStart"/>
      <w:r w:rsidRPr="004A7F1F">
        <w:rPr>
          <w:lang w:eastAsia="en-US"/>
        </w:rPr>
        <w:t>Zhishi</w:t>
      </w:r>
      <w:proofErr w:type="spellEnd"/>
      <w:r w:rsidRPr="004A7F1F">
        <w:rPr>
          <w:lang w:eastAsia="en-US"/>
        </w:rPr>
        <w:t xml:space="preserve"> G</w:t>
      </w:r>
      <w:r w:rsidR="00522555" w:rsidRPr="004A7F1F">
        <w:rPr>
          <w:lang w:eastAsia="en-US"/>
        </w:rPr>
        <w:t>.</w:t>
      </w:r>
      <w:r w:rsidRPr="004A7F1F">
        <w:rPr>
          <w:lang w:eastAsia="en-US"/>
        </w:rPr>
        <w:t>, Fulcher J</w:t>
      </w:r>
      <w:r w:rsidR="00522555" w:rsidRPr="004A7F1F">
        <w:rPr>
          <w:lang w:eastAsia="en-US"/>
        </w:rPr>
        <w:t>.</w:t>
      </w:r>
      <w:r w:rsidRPr="004A7F1F">
        <w:rPr>
          <w:lang w:eastAsia="en-US"/>
        </w:rPr>
        <w:t>N</w:t>
      </w:r>
      <w:r w:rsidR="00522555" w:rsidRPr="004A7F1F">
        <w:rPr>
          <w:lang w:eastAsia="en-US"/>
        </w:rPr>
        <w:t>.</w:t>
      </w:r>
      <w:r w:rsidRPr="004A7F1F">
        <w:rPr>
          <w:lang w:eastAsia="en-US"/>
        </w:rPr>
        <w:t>, and Bell D</w:t>
      </w:r>
      <w:r w:rsidR="00522555" w:rsidRPr="004A7F1F">
        <w:rPr>
          <w:lang w:eastAsia="en-US"/>
        </w:rPr>
        <w:t>.</w:t>
      </w:r>
      <w:r w:rsidRPr="004A7F1F">
        <w:rPr>
          <w:lang w:eastAsia="en-US"/>
        </w:rPr>
        <w:t>A</w:t>
      </w:r>
      <w:r w:rsidR="00522555" w:rsidRPr="004A7F1F">
        <w:rPr>
          <w:lang w:eastAsia="en-US"/>
        </w:rPr>
        <w:t>.</w:t>
      </w:r>
      <w:r w:rsidRPr="004A7F1F">
        <w:rPr>
          <w:lang w:eastAsia="en-US"/>
        </w:rPr>
        <w:t xml:space="preserve"> (1991) </w:t>
      </w:r>
      <w:proofErr w:type="gramStart"/>
      <w:r w:rsidRPr="004A7F1F">
        <w:rPr>
          <w:lang w:eastAsia="en-US"/>
        </w:rPr>
        <w:t>The</w:t>
      </w:r>
      <w:proofErr w:type="gramEnd"/>
      <w:r w:rsidRPr="004A7F1F">
        <w:rPr>
          <w:lang w:eastAsia="en-US"/>
        </w:rPr>
        <w:t xml:space="preserve"> influence of humidity on the daytime decay of PAH on atmospheric soot particles. In: Cook M, </w:t>
      </w:r>
      <w:proofErr w:type="spellStart"/>
      <w:r w:rsidRPr="004A7F1F">
        <w:rPr>
          <w:lang w:eastAsia="en-US"/>
        </w:rPr>
        <w:t>Loening</w:t>
      </w:r>
      <w:proofErr w:type="spellEnd"/>
      <w:r w:rsidRPr="004A7F1F">
        <w:rPr>
          <w:lang w:eastAsia="en-US"/>
        </w:rPr>
        <w:t xml:space="preserve">, K &amp; Merritt, J ed. </w:t>
      </w:r>
      <w:proofErr w:type="spellStart"/>
      <w:r w:rsidRPr="004A7F1F">
        <w:rPr>
          <w:lang w:eastAsia="en-US"/>
        </w:rPr>
        <w:t>Polynuclear</w:t>
      </w:r>
      <w:proofErr w:type="spellEnd"/>
      <w:r w:rsidRPr="004A7F1F">
        <w:rPr>
          <w:lang w:eastAsia="en-US"/>
        </w:rPr>
        <w:t xml:space="preserve"> aromatic hydrocarbons: Measurement, means and metabolism, Columbus, Ohio, Battelle Press, 435-451</w:t>
      </w:r>
    </w:p>
    <w:p w14:paraId="4536DBBB" w14:textId="77777777" w:rsidR="00D011AE" w:rsidRPr="004A7F1F" w:rsidRDefault="00D011AE" w:rsidP="003B3C62">
      <w:pPr>
        <w:rPr>
          <w:lang w:eastAsia="en-US"/>
        </w:rPr>
      </w:pPr>
    </w:p>
    <w:p w14:paraId="10883EAC" w14:textId="77777777" w:rsidR="00313560" w:rsidRPr="004A7F1F" w:rsidRDefault="00313560" w:rsidP="003B3C62">
      <w:pPr>
        <w:rPr>
          <w:lang w:eastAsia="en-US"/>
        </w:rPr>
      </w:pPr>
      <w:proofErr w:type="spellStart"/>
      <w:r w:rsidRPr="004A7F1F">
        <w:rPr>
          <w:lang w:eastAsia="en-US"/>
        </w:rPr>
        <w:t>Lampi</w:t>
      </w:r>
      <w:proofErr w:type="spellEnd"/>
      <w:r w:rsidRPr="004A7F1F">
        <w:rPr>
          <w:lang w:eastAsia="en-US"/>
        </w:rPr>
        <w:t xml:space="preserve"> M.A., </w:t>
      </w:r>
      <w:proofErr w:type="spellStart"/>
      <w:r w:rsidRPr="004A7F1F">
        <w:rPr>
          <w:lang w:eastAsia="en-US"/>
        </w:rPr>
        <w:t>Gurska</w:t>
      </w:r>
      <w:proofErr w:type="spellEnd"/>
      <w:r w:rsidRPr="004A7F1F">
        <w:rPr>
          <w:lang w:eastAsia="en-US"/>
        </w:rPr>
        <w:t xml:space="preserve"> J., McDonald K.I.C., </w:t>
      </w:r>
      <w:proofErr w:type="spellStart"/>
      <w:r w:rsidRPr="004A7F1F">
        <w:rPr>
          <w:lang w:eastAsia="en-US"/>
        </w:rPr>
        <w:t>Xie</w:t>
      </w:r>
      <w:proofErr w:type="spellEnd"/>
      <w:r w:rsidRPr="004A7F1F">
        <w:rPr>
          <w:lang w:eastAsia="en-US"/>
        </w:rPr>
        <w:t xml:space="preserve"> F., Huang X.-D., Dixon D.G., Greenberg B.M. (2006): </w:t>
      </w:r>
      <w:proofErr w:type="spellStart"/>
      <w:r w:rsidRPr="004A7F1F">
        <w:rPr>
          <w:lang w:eastAsia="en-US"/>
        </w:rPr>
        <w:t>Photoinduced</w:t>
      </w:r>
      <w:proofErr w:type="spellEnd"/>
      <w:r w:rsidRPr="004A7F1F">
        <w:rPr>
          <w:lang w:eastAsia="en-US"/>
        </w:rPr>
        <w:t xml:space="preserve"> toxicity of polycyclic aromatic hydrocarbons to Daphnia magna: ultraviolet-mediated effects and the toxicity of polycyclic aromatic hydrocarbon photoproducts. Environmental Toxicology and Chemistry, 25(4), 1079-1078.</w:t>
      </w:r>
    </w:p>
    <w:p w14:paraId="49A473A8" w14:textId="77777777" w:rsidR="00D011AE" w:rsidRPr="004A7F1F" w:rsidRDefault="00D011AE" w:rsidP="003B3C62">
      <w:pPr>
        <w:rPr>
          <w:lang w:eastAsia="en-US"/>
        </w:rPr>
      </w:pPr>
    </w:p>
    <w:p w14:paraId="3C66CE0B" w14:textId="77777777" w:rsidR="00313560" w:rsidRPr="004A7F1F" w:rsidRDefault="00313560" w:rsidP="003B3C62">
      <w:pPr>
        <w:rPr>
          <w:lang w:eastAsia="en-US"/>
        </w:rPr>
      </w:pPr>
      <w:r w:rsidRPr="004A7F1F">
        <w:rPr>
          <w:lang w:eastAsia="en-US"/>
        </w:rPr>
        <w:t xml:space="preserve">Mackay D., </w:t>
      </w:r>
      <w:proofErr w:type="spellStart"/>
      <w:r w:rsidRPr="004A7F1F">
        <w:rPr>
          <w:lang w:eastAsia="en-US"/>
        </w:rPr>
        <w:t>Shiu</w:t>
      </w:r>
      <w:proofErr w:type="spellEnd"/>
      <w:r w:rsidRPr="004A7F1F">
        <w:rPr>
          <w:lang w:eastAsia="en-US"/>
        </w:rPr>
        <w:t xml:space="preserve"> W.Y. and Ma K.C. (1992): Illustrated handbook of physical-chemical properties and environmental fate of organic chemicals. Lewis Publishers, Boca Raton, FL, USA.</w:t>
      </w:r>
    </w:p>
    <w:p w14:paraId="5B127833" w14:textId="77777777" w:rsidR="00D011AE" w:rsidRPr="004A7F1F" w:rsidRDefault="00D011AE" w:rsidP="003B3C62">
      <w:pPr>
        <w:rPr>
          <w:lang w:eastAsia="en-US"/>
        </w:rPr>
      </w:pPr>
    </w:p>
    <w:p w14:paraId="1B4C9917" w14:textId="77777777" w:rsidR="00313560" w:rsidRPr="004A7F1F" w:rsidRDefault="00313560" w:rsidP="003B3C62">
      <w:pPr>
        <w:rPr>
          <w:lang w:eastAsia="en-US"/>
        </w:rPr>
      </w:pPr>
      <w:r w:rsidRPr="004A7F1F">
        <w:rPr>
          <w:lang w:eastAsia="en-US"/>
        </w:rPr>
        <w:t xml:space="preserve">Mackay D., </w:t>
      </w:r>
      <w:proofErr w:type="spellStart"/>
      <w:r w:rsidRPr="004A7F1F">
        <w:rPr>
          <w:lang w:eastAsia="en-US"/>
        </w:rPr>
        <w:t>Shiu</w:t>
      </w:r>
      <w:proofErr w:type="spellEnd"/>
      <w:r w:rsidRPr="004A7F1F">
        <w:rPr>
          <w:lang w:eastAsia="en-US"/>
        </w:rPr>
        <w:t xml:space="preserve"> W.Y., </w:t>
      </w:r>
      <w:proofErr w:type="gramStart"/>
      <w:r w:rsidRPr="004A7F1F">
        <w:rPr>
          <w:lang w:eastAsia="en-US"/>
        </w:rPr>
        <w:t>Ma</w:t>
      </w:r>
      <w:proofErr w:type="gramEnd"/>
      <w:r w:rsidRPr="004A7F1F">
        <w:rPr>
          <w:lang w:eastAsia="en-US"/>
        </w:rPr>
        <w:t xml:space="preserve"> K. (2000): Illustrated handbook of physical-chemical properties and environmental fate for organic chemicals. Vol. II: </w:t>
      </w:r>
      <w:proofErr w:type="spellStart"/>
      <w:r w:rsidRPr="004A7F1F">
        <w:rPr>
          <w:lang w:eastAsia="en-US"/>
        </w:rPr>
        <w:t>Polynuclear</w:t>
      </w:r>
      <w:proofErr w:type="spellEnd"/>
      <w:r w:rsidRPr="004A7F1F">
        <w:rPr>
          <w:lang w:eastAsia="en-US"/>
        </w:rPr>
        <w:t xml:space="preserve"> aromatic </w:t>
      </w:r>
      <w:r w:rsidRPr="004A7F1F">
        <w:rPr>
          <w:lang w:eastAsia="en-US"/>
        </w:rPr>
        <w:lastRenderedPageBreak/>
        <w:t>hydrocarbons, polychlorinated dioxins and dibenzofurans.</w:t>
      </w:r>
    </w:p>
    <w:p w14:paraId="6E9A1FBB" w14:textId="77777777" w:rsidR="00D011AE" w:rsidRPr="004A7F1F" w:rsidRDefault="00D011AE" w:rsidP="003B3C62">
      <w:pPr>
        <w:rPr>
          <w:lang w:eastAsia="en-US"/>
        </w:rPr>
      </w:pPr>
    </w:p>
    <w:p w14:paraId="576CB7CB" w14:textId="00D3BFC4" w:rsidR="00714F82" w:rsidRPr="004A7F1F" w:rsidRDefault="00714F82" w:rsidP="003B3C62">
      <w:pPr>
        <w:rPr>
          <w:lang w:eastAsia="en-US"/>
        </w:rPr>
      </w:pPr>
      <w:r w:rsidRPr="004A7F1F">
        <w:rPr>
          <w:lang w:eastAsia="en-US"/>
        </w:rPr>
        <w:t xml:space="preserve">Mackay D, </w:t>
      </w:r>
      <w:proofErr w:type="spellStart"/>
      <w:r w:rsidRPr="004A7F1F">
        <w:rPr>
          <w:lang w:eastAsia="en-US"/>
        </w:rPr>
        <w:t>Shiu</w:t>
      </w:r>
      <w:proofErr w:type="spellEnd"/>
      <w:r w:rsidRPr="004A7F1F">
        <w:rPr>
          <w:lang w:eastAsia="en-US"/>
        </w:rPr>
        <w:t xml:space="preserve"> W.Y., Ma K.C, Lee S.C. (2006): Physical-Chemical Properties and Environmental Fate for Organic Chemicals / Donald Mackay [Ed.</w:t>
      </w:r>
      <w:proofErr w:type="gramStart"/>
      <w:r w:rsidRPr="004A7F1F">
        <w:rPr>
          <w:lang w:eastAsia="en-US"/>
        </w:rPr>
        <w:t>] ....</w:t>
      </w:r>
      <w:proofErr w:type="gramEnd"/>
      <w:r w:rsidRPr="004A7F1F">
        <w:rPr>
          <w:lang w:eastAsia="en-US"/>
        </w:rPr>
        <w:t xml:space="preserve"> - 1. Introduction and Hydrocarbons. - Boca Raton, FL [</w:t>
      </w:r>
      <w:proofErr w:type="spellStart"/>
      <w:r w:rsidRPr="004A7F1F">
        <w:rPr>
          <w:lang w:eastAsia="en-US"/>
        </w:rPr>
        <w:t>u.a</w:t>
      </w:r>
      <w:proofErr w:type="spellEnd"/>
      <w:r w:rsidRPr="004A7F1F">
        <w:rPr>
          <w:lang w:eastAsia="en-US"/>
        </w:rPr>
        <w:t>.</w:t>
      </w:r>
      <w:proofErr w:type="gramStart"/>
      <w:r w:rsidRPr="004A7F1F">
        <w:rPr>
          <w:lang w:eastAsia="en-US"/>
        </w:rPr>
        <w:t>] :</w:t>
      </w:r>
      <w:proofErr w:type="gramEnd"/>
      <w:r w:rsidRPr="004A7F1F">
        <w:rPr>
          <w:lang w:eastAsia="en-US"/>
        </w:rPr>
        <w:t xml:space="preserve"> Lewis, 2006. -ISBN 1-56670-687-4</w:t>
      </w:r>
    </w:p>
    <w:p w14:paraId="29C035A8" w14:textId="77777777" w:rsidR="00D011AE" w:rsidRPr="004A7F1F" w:rsidRDefault="00D011AE" w:rsidP="003B3C62">
      <w:pPr>
        <w:rPr>
          <w:lang w:eastAsia="en-US"/>
        </w:rPr>
      </w:pPr>
    </w:p>
    <w:p w14:paraId="2762C890" w14:textId="01C80837" w:rsidR="007E35CE" w:rsidRPr="004A7F1F" w:rsidRDefault="007E35CE" w:rsidP="003B3C62">
      <w:pPr>
        <w:rPr>
          <w:lang w:eastAsia="en-US"/>
        </w:rPr>
      </w:pPr>
      <w:r w:rsidRPr="004A7F1F">
        <w:rPr>
          <w:lang w:eastAsia="en-US"/>
        </w:rPr>
        <w:t>Neff, J</w:t>
      </w:r>
      <w:r w:rsidR="00522555" w:rsidRPr="004A7F1F">
        <w:rPr>
          <w:lang w:eastAsia="en-US"/>
        </w:rPr>
        <w:t>.</w:t>
      </w:r>
      <w:r w:rsidRPr="004A7F1F">
        <w:rPr>
          <w:lang w:eastAsia="en-US"/>
        </w:rPr>
        <w:t>M</w:t>
      </w:r>
      <w:r w:rsidR="00522555" w:rsidRPr="004A7F1F">
        <w:rPr>
          <w:lang w:eastAsia="en-US"/>
        </w:rPr>
        <w:t>.</w:t>
      </w:r>
      <w:r w:rsidRPr="004A7F1F">
        <w:rPr>
          <w:lang w:eastAsia="en-US"/>
        </w:rPr>
        <w:t xml:space="preserve"> (1979) </w:t>
      </w:r>
      <w:proofErr w:type="gramStart"/>
      <w:r w:rsidRPr="004A7F1F">
        <w:rPr>
          <w:lang w:eastAsia="en-US"/>
        </w:rPr>
        <w:t>Polycyclic</w:t>
      </w:r>
      <w:proofErr w:type="gramEnd"/>
      <w:r w:rsidRPr="004A7F1F">
        <w:rPr>
          <w:lang w:eastAsia="en-US"/>
        </w:rPr>
        <w:t xml:space="preserve"> aromatic hydrocarbons in the aquatic environment. Sources, fate and biological effects. Applied Science Publishers, London</w:t>
      </w:r>
    </w:p>
    <w:p w14:paraId="60AFF674" w14:textId="77777777" w:rsidR="00D011AE" w:rsidRPr="004A7F1F" w:rsidRDefault="00D011AE" w:rsidP="003B3C62">
      <w:pPr>
        <w:rPr>
          <w:lang w:eastAsia="en-US"/>
        </w:rPr>
      </w:pPr>
    </w:p>
    <w:p w14:paraId="6499DA39" w14:textId="77777777" w:rsidR="00313560" w:rsidRPr="004A7F1F" w:rsidRDefault="00313560" w:rsidP="003B3C62">
      <w:pPr>
        <w:rPr>
          <w:lang w:eastAsia="en-US"/>
        </w:rPr>
      </w:pPr>
      <w:proofErr w:type="spellStart"/>
      <w:r w:rsidRPr="004A7F1F">
        <w:rPr>
          <w:lang w:eastAsia="en-US"/>
        </w:rPr>
        <w:t>Newsted</w:t>
      </w:r>
      <w:proofErr w:type="spellEnd"/>
      <w:r w:rsidRPr="004A7F1F">
        <w:rPr>
          <w:lang w:eastAsia="en-US"/>
        </w:rPr>
        <w:t xml:space="preserve"> J.L, </w:t>
      </w:r>
      <w:proofErr w:type="spellStart"/>
      <w:r w:rsidRPr="004A7F1F">
        <w:rPr>
          <w:lang w:eastAsia="en-US"/>
        </w:rPr>
        <w:t>Giesy</w:t>
      </w:r>
      <w:proofErr w:type="spellEnd"/>
      <w:r w:rsidRPr="004A7F1F">
        <w:rPr>
          <w:lang w:eastAsia="en-US"/>
        </w:rPr>
        <w:t xml:space="preserve"> J.P. (1987): Predictive models for </w:t>
      </w:r>
      <w:proofErr w:type="spellStart"/>
      <w:r w:rsidRPr="004A7F1F">
        <w:rPr>
          <w:lang w:eastAsia="en-US"/>
        </w:rPr>
        <w:t>photoinduced</w:t>
      </w:r>
      <w:proofErr w:type="spellEnd"/>
      <w:r w:rsidRPr="004A7F1F">
        <w:rPr>
          <w:lang w:eastAsia="en-US"/>
        </w:rPr>
        <w:t xml:space="preserve"> acute toxicity of </w:t>
      </w:r>
      <w:proofErr w:type="spellStart"/>
      <w:r w:rsidRPr="004A7F1F">
        <w:rPr>
          <w:lang w:eastAsia="en-US"/>
        </w:rPr>
        <w:t>polycyclicaromatic</w:t>
      </w:r>
      <w:proofErr w:type="spellEnd"/>
      <w:r w:rsidRPr="004A7F1F">
        <w:rPr>
          <w:lang w:eastAsia="en-US"/>
        </w:rPr>
        <w:t xml:space="preserve"> hydrocarbons to Daphnia magna, Strauss (</w:t>
      </w:r>
      <w:proofErr w:type="spellStart"/>
      <w:r w:rsidRPr="004A7F1F">
        <w:rPr>
          <w:lang w:eastAsia="en-US"/>
        </w:rPr>
        <w:t>Cladocera</w:t>
      </w:r>
      <w:proofErr w:type="spellEnd"/>
      <w:r w:rsidRPr="004A7F1F">
        <w:rPr>
          <w:lang w:eastAsia="en-US"/>
        </w:rPr>
        <w:t xml:space="preserve">, </w:t>
      </w:r>
      <w:proofErr w:type="spellStart"/>
      <w:r w:rsidRPr="004A7F1F">
        <w:rPr>
          <w:lang w:eastAsia="en-US"/>
        </w:rPr>
        <w:t>crustacea</w:t>
      </w:r>
      <w:proofErr w:type="spellEnd"/>
      <w:r w:rsidRPr="004A7F1F">
        <w:rPr>
          <w:lang w:eastAsia="en-US"/>
        </w:rPr>
        <w:t>). Environmental Toxicology and Chemistry, 6, 445-461.</w:t>
      </w:r>
    </w:p>
    <w:p w14:paraId="598EAD89" w14:textId="77777777" w:rsidR="00D011AE" w:rsidRPr="004A7F1F" w:rsidRDefault="00D011AE" w:rsidP="003B3C62">
      <w:pPr>
        <w:rPr>
          <w:lang w:eastAsia="en-US"/>
        </w:rPr>
      </w:pPr>
    </w:p>
    <w:p w14:paraId="24B0EA71" w14:textId="58E0FD61" w:rsidR="0055590F" w:rsidRPr="004A7F1F" w:rsidRDefault="0055590F" w:rsidP="003B3C62">
      <w:pPr>
        <w:rPr>
          <w:lang w:eastAsia="en-US"/>
        </w:rPr>
      </w:pPr>
      <w:r w:rsidRPr="004A7F1F">
        <w:rPr>
          <w:lang w:eastAsia="en-US"/>
        </w:rPr>
        <w:t>Peters J</w:t>
      </w:r>
      <w:r w:rsidR="00522555" w:rsidRPr="004A7F1F">
        <w:rPr>
          <w:lang w:eastAsia="en-US"/>
        </w:rPr>
        <w:t>.</w:t>
      </w:r>
      <w:r w:rsidRPr="004A7F1F">
        <w:rPr>
          <w:lang w:eastAsia="en-US"/>
        </w:rPr>
        <w:t>, and Seifert B</w:t>
      </w:r>
      <w:r w:rsidR="00522555" w:rsidRPr="004A7F1F">
        <w:rPr>
          <w:lang w:eastAsia="en-US"/>
        </w:rPr>
        <w:t>.</w:t>
      </w:r>
      <w:r w:rsidRPr="004A7F1F">
        <w:rPr>
          <w:lang w:eastAsia="en-US"/>
        </w:rPr>
        <w:t xml:space="preserve"> (1980) Losses of </w:t>
      </w:r>
      <w:proofErr w:type="gramStart"/>
      <w:r w:rsidRPr="004A7F1F">
        <w:rPr>
          <w:lang w:eastAsia="en-US"/>
        </w:rPr>
        <w:t>benzo(</w:t>
      </w:r>
      <w:proofErr w:type="gramEnd"/>
      <w:r w:rsidRPr="004A7F1F">
        <w:rPr>
          <w:lang w:eastAsia="en-US"/>
        </w:rPr>
        <w:t>a)pyrene under conditions of high volume sampling. Atmospheric Environment, 14, 117-119</w:t>
      </w:r>
    </w:p>
    <w:p w14:paraId="2588B76A" w14:textId="77777777" w:rsidR="00D011AE" w:rsidRPr="004A7F1F" w:rsidRDefault="00D011AE" w:rsidP="003B3C62">
      <w:pPr>
        <w:rPr>
          <w:lang w:eastAsia="en-US"/>
        </w:rPr>
      </w:pPr>
    </w:p>
    <w:p w14:paraId="66077A3B" w14:textId="03604FD8" w:rsidR="0055590F" w:rsidRPr="004A7F1F" w:rsidRDefault="0055590F" w:rsidP="003B3C62">
      <w:pPr>
        <w:rPr>
          <w:lang w:eastAsia="en-US"/>
        </w:rPr>
      </w:pPr>
      <w:r w:rsidRPr="004A7F1F">
        <w:rPr>
          <w:lang w:eastAsia="en-US"/>
        </w:rPr>
        <w:t>Pitts J</w:t>
      </w:r>
      <w:r w:rsidR="00522555" w:rsidRPr="004A7F1F">
        <w:rPr>
          <w:lang w:eastAsia="en-US"/>
        </w:rPr>
        <w:t>.</w:t>
      </w:r>
      <w:r w:rsidRPr="004A7F1F">
        <w:rPr>
          <w:lang w:eastAsia="en-US"/>
        </w:rPr>
        <w:t>N</w:t>
      </w:r>
      <w:r w:rsidR="00522555" w:rsidRPr="004A7F1F">
        <w:rPr>
          <w:lang w:eastAsia="en-US"/>
        </w:rPr>
        <w:t>.</w:t>
      </w:r>
      <w:r w:rsidRPr="004A7F1F">
        <w:rPr>
          <w:lang w:eastAsia="en-US"/>
        </w:rPr>
        <w:t xml:space="preserve">, </w:t>
      </w:r>
      <w:proofErr w:type="spellStart"/>
      <w:r w:rsidRPr="004A7F1F">
        <w:rPr>
          <w:lang w:eastAsia="en-US"/>
        </w:rPr>
        <w:t>Paur</w:t>
      </w:r>
      <w:proofErr w:type="spellEnd"/>
      <w:r w:rsidRPr="004A7F1F">
        <w:rPr>
          <w:lang w:eastAsia="en-US"/>
        </w:rPr>
        <w:t xml:space="preserve"> H</w:t>
      </w:r>
      <w:r w:rsidR="00522555" w:rsidRPr="004A7F1F">
        <w:rPr>
          <w:lang w:eastAsia="en-US"/>
        </w:rPr>
        <w:t>.</w:t>
      </w:r>
      <w:r w:rsidRPr="004A7F1F">
        <w:rPr>
          <w:lang w:eastAsia="en-US"/>
        </w:rPr>
        <w:t>-R</w:t>
      </w:r>
      <w:r w:rsidR="00522555" w:rsidRPr="004A7F1F">
        <w:rPr>
          <w:lang w:eastAsia="en-US"/>
        </w:rPr>
        <w:t>.</w:t>
      </w:r>
      <w:r w:rsidRPr="004A7F1F">
        <w:rPr>
          <w:lang w:eastAsia="en-US"/>
        </w:rPr>
        <w:t xml:space="preserve">, </w:t>
      </w:r>
      <w:proofErr w:type="spellStart"/>
      <w:r w:rsidRPr="004A7F1F">
        <w:rPr>
          <w:lang w:eastAsia="en-US"/>
        </w:rPr>
        <w:t>Zielinska</w:t>
      </w:r>
      <w:proofErr w:type="spellEnd"/>
      <w:r w:rsidRPr="004A7F1F">
        <w:rPr>
          <w:lang w:eastAsia="en-US"/>
        </w:rPr>
        <w:t xml:space="preserve"> B</w:t>
      </w:r>
      <w:r w:rsidR="00522555" w:rsidRPr="004A7F1F">
        <w:rPr>
          <w:lang w:eastAsia="en-US"/>
        </w:rPr>
        <w:t>.</w:t>
      </w:r>
      <w:r w:rsidRPr="004A7F1F">
        <w:rPr>
          <w:lang w:eastAsia="en-US"/>
        </w:rPr>
        <w:t xml:space="preserve">, </w:t>
      </w:r>
      <w:proofErr w:type="spellStart"/>
      <w:r w:rsidRPr="004A7F1F">
        <w:rPr>
          <w:lang w:eastAsia="en-US"/>
        </w:rPr>
        <w:t>Arey</w:t>
      </w:r>
      <w:proofErr w:type="spellEnd"/>
      <w:r w:rsidRPr="004A7F1F">
        <w:rPr>
          <w:lang w:eastAsia="en-US"/>
        </w:rPr>
        <w:t xml:space="preserve"> J</w:t>
      </w:r>
      <w:r w:rsidR="00522555" w:rsidRPr="004A7F1F">
        <w:rPr>
          <w:lang w:eastAsia="en-US"/>
        </w:rPr>
        <w:t>.</w:t>
      </w:r>
      <w:r w:rsidRPr="004A7F1F">
        <w:rPr>
          <w:lang w:eastAsia="en-US"/>
        </w:rPr>
        <w:t>, Winer A</w:t>
      </w:r>
      <w:r w:rsidR="00522555" w:rsidRPr="004A7F1F">
        <w:rPr>
          <w:lang w:eastAsia="en-US"/>
        </w:rPr>
        <w:t>.</w:t>
      </w:r>
      <w:r w:rsidRPr="004A7F1F">
        <w:rPr>
          <w:lang w:eastAsia="en-US"/>
        </w:rPr>
        <w:t>M</w:t>
      </w:r>
      <w:r w:rsidR="00522555" w:rsidRPr="004A7F1F">
        <w:rPr>
          <w:lang w:eastAsia="en-US"/>
        </w:rPr>
        <w:t>.</w:t>
      </w:r>
      <w:r w:rsidRPr="004A7F1F">
        <w:rPr>
          <w:lang w:eastAsia="en-US"/>
        </w:rPr>
        <w:t xml:space="preserve">, </w:t>
      </w:r>
      <w:proofErr w:type="spellStart"/>
      <w:r w:rsidRPr="004A7F1F">
        <w:rPr>
          <w:lang w:eastAsia="en-US"/>
        </w:rPr>
        <w:t>Ramdahl</w:t>
      </w:r>
      <w:proofErr w:type="spellEnd"/>
      <w:r w:rsidRPr="004A7F1F">
        <w:rPr>
          <w:lang w:eastAsia="en-US"/>
        </w:rPr>
        <w:t xml:space="preserve"> T</w:t>
      </w:r>
      <w:r w:rsidR="00522555" w:rsidRPr="004A7F1F">
        <w:rPr>
          <w:lang w:eastAsia="en-US"/>
        </w:rPr>
        <w:t>.</w:t>
      </w:r>
      <w:r w:rsidRPr="004A7F1F">
        <w:rPr>
          <w:lang w:eastAsia="en-US"/>
        </w:rPr>
        <w:t>, and Mejia V</w:t>
      </w:r>
      <w:r w:rsidR="00522555" w:rsidRPr="004A7F1F">
        <w:rPr>
          <w:lang w:eastAsia="en-US"/>
        </w:rPr>
        <w:t>.</w:t>
      </w:r>
      <w:r w:rsidRPr="004A7F1F">
        <w:rPr>
          <w:lang w:eastAsia="en-US"/>
        </w:rPr>
        <w:t xml:space="preserve"> (1986). Factors influencing the reactivity of polycyclic hydrocarbons adsorbed on filters and ambient POM with </w:t>
      </w:r>
      <w:proofErr w:type="spellStart"/>
      <w:r w:rsidRPr="004A7F1F">
        <w:rPr>
          <w:lang w:eastAsia="en-US"/>
        </w:rPr>
        <w:t>ozon</w:t>
      </w:r>
      <w:proofErr w:type="spellEnd"/>
      <w:r w:rsidRPr="004A7F1F">
        <w:rPr>
          <w:lang w:eastAsia="en-US"/>
        </w:rPr>
        <w:t>, Chemosphere, 15, 675-685</w:t>
      </w:r>
    </w:p>
    <w:p w14:paraId="08F11A6E" w14:textId="77777777" w:rsidR="00D011AE" w:rsidRPr="004A7F1F" w:rsidRDefault="00D011AE" w:rsidP="003B3C62">
      <w:pPr>
        <w:rPr>
          <w:lang w:eastAsia="en-US"/>
        </w:rPr>
      </w:pPr>
    </w:p>
    <w:p w14:paraId="3EF43B08" w14:textId="1BD9AA80" w:rsidR="00312118" w:rsidRPr="004A7F1F" w:rsidRDefault="00312118" w:rsidP="003B3C62">
      <w:pPr>
        <w:rPr>
          <w:lang w:eastAsia="en-US"/>
        </w:rPr>
      </w:pPr>
      <w:r w:rsidRPr="004A7F1F">
        <w:rPr>
          <w:lang w:eastAsia="en-US"/>
        </w:rPr>
        <w:t>The Netherlands (2008): Annex XV Transitional Dossier for substance Coal Tar Pitch, High Temperature, CAS Number: 65996-93-2</w:t>
      </w:r>
    </w:p>
    <w:p w14:paraId="476AEA12" w14:textId="77777777" w:rsidR="00D011AE" w:rsidRPr="004A7F1F" w:rsidRDefault="00D011AE" w:rsidP="003B3C62">
      <w:pPr>
        <w:rPr>
          <w:lang w:eastAsia="en-US"/>
        </w:rPr>
      </w:pPr>
    </w:p>
    <w:p w14:paraId="1949C8CF" w14:textId="2F22F15C" w:rsidR="001E4374" w:rsidRPr="004A7F1F" w:rsidRDefault="001E4374" w:rsidP="003B3C62">
      <w:pPr>
        <w:rPr>
          <w:lang w:eastAsia="en-US"/>
        </w:rPr>
      </w:pPr>
      <w:r w:rsidRPr="004A7F1F">
        <w:rPr>
          <w:lang w:eastAsia="en-US"/>
        </w:rPr>
        <w:t>Valerio F</w:t>
      </w:r>
      <w:r w:rsidR="00522555" w:rsidRPr="004A7F1F">
        <w:rPr>
          <w:lang w:eastAsia="en-US"/>
        </w:rPr>
        <w:t>.</w:t>
      </w:r>
      <w:r w:rsidRPr="004A7F1F">
        <w:rPr>
          <w:lang w:eastAsia="en-US"/>
        </w:rPr>
        <w:t xml:space="preserve">, </w:t>
      </w:r>
      <w:proofErr w:type="spellStart"/>
      <w:r w:rsidRPr="004A7F1F">
        <w:rPr>
          <w:lang w:eastAsia="en-US"/>
        </w:rPr>
        <w:t>Antolini</w:t>
      </w:r>
      <w:proofErr w:type="spellEnd"/>
      <w:r w:rsidRPr="004A7F1F">
        <w:rPr>
          <w:lang w:eastAsia="en-US"/>
        </w:rPr>
        <w:t xml:space="preserve"> E</w:t>
      </w:r>
      <w:r w:rsidR="00522555" w:rsidRPr="004A7F1F">
        <w:rPr>
          <w:lang w:eastAsia="en-US"/>
        </w:rPr>
        <w:t>.</w:t>
      </w:r>
      <w:r w:rsidRPr="004A7F1F">
        <w:rPr>
          <w:lang w:eastAsia="en-US"/>
        </w:rPr>
        <w:t xml:space="preserve">, and </w:t>
      </w:r>
      <w:proofErr w:type="spellStart"/>
      <w:r w:rsidRPr="004A7F1F">
        <w:rPr>
          <w:lang w:eastAsia="en-US"/>
        </w:rPr>
        <w:t>Lazzarotto</w:t>
      </w:r>
      <w:proofErr w:type="spellEnd"/>
      <w:r w:rsidRPr="004A7F1F">
        <w:rPr>
          <w:lang w:eastAsia="en-US"/>
        </w:rPr>
        <w:t xml:space="preserve"> A</w:t>
      </w:r>
      <w:r w:rsidR="00522555" w:rsidRPr="004A7F1F">
        <w:rPr>
          <w:lang w:eastAsia="en-US"/>
        </w:rPr>
        <w:t>.</w:t>
      </w:r>
      <w:r w:rsidRPr="004A7F1F">
        <w:rPr>
          <w:lang w:eastAsia="en-US"/>
        </w:rPr>
        <w:t xml:space="preserve"> (1987) A model to evaluate half-lives of PAHs naturally occurring on airborne particulate. Int. J. Environ. Anal. Chem., 28, 185-196</w:t>
      </w:r>
    </w:p>
    <w:p w14:paraId="569EAC83" w14:textId="77777777" w:rsidR="00D011AE" w:rsidRPr="004A7F1F" w:rsidRDefault="00D011AE" w:rsidP="003B3C62">
      <w:pPr>
        <w:rPr>
          <w:lang w:eastAsia="en-US"/>
        </w:rPr>
      </w:pPr>
    </w:p>
    <w:p w14:paraId="1D71DD03" w14:textId="2E3C9733" w:rsidR="00276E9C" w:rsidRPr="004A7F1F" w:rsidRDefault="00276E9C" w:rsidP="003B3C62">
      <w:pPr>
        <w:rPr>
          <w:lang w:eastAsia="en-US"/>
        </w:rPr>
      </w:pPr>
      <w:proofErr w:type="spellStart"/>
      <w:r w:rsidRPr="004A7F1F">
        <w:rPr>
          <w:lang w:eastAsia="en-US"/>
        </w:rPr>
        <w:t>Volkering</w:t>
      </w:r>
      <w:proofErr w:type="spellEnd"/>
      <w:r w:rsidRPr="004A7F1F">
        <w:rPr>
          <w:lang w:eastAsia="en-US"/>
        </w:rPr>
        <w:t xml:space="preserve"> F</w:t>
      </w:r>
      <w:r w:rsidR="00522555" w:rsidRPr="004A7F1F">
        <w:rPr>
          <w:lang w:eastAsia="en-US"/>
        </w:rPr>
        <w:t>.</w:t>
      </w:r>
      <w:r w:rsidRPr="004A7F1F">
        <w:rPr>
          <w:lang w:eastAsia="en-US"/>
        </w:rPr>
        <w:t xml:space="preserve">, </w:t>
      </w:r>
      <w:proofErr w:type="spellStart"/>
      <w:r w:rsidRPr="004A7F1F">
        <w:rPr>
          <w:lang w:eastAsia="en-US"/>
        </w:rPr>
        <w:t>Breure</w:t>
      </w:r>
      <w:proofErr w:type="spellEnd"/>
      <w:r w:rsidRPr="004A7F1F">
        <w:rPr>
          <w:lang w:eastAsia="en-US"/>
        </w:rPr>
        <w:t xml:space="preserve"> A</w:t>
      </w:r>
      <w:r w:rsidR="00522555" w:rsidRPr="004A7F1F">
        <w:rPr>
          <w:lang w:eastAsia="en-US"/>
        </w:rPr>
        <w:t>.</w:t>
      </w:r>
      <w:r w:rsidRPr="004A7F1F">
        <w:rPr>
          <w:lang w:eastAsia="en-US"/>
        </w:rPr>
        <w:t>M</w:t>
      </w:r>
      <w:r w:rsidR="00522555" w:rsidRPr="004A7F1F">
        <w:rPr>
          <w:lang w:eastAsia="en-US"/>
        </w:rPr>
        <w:t>.</w:t>
      </w:r>
      <w:r w:rsidRPr="004A7F1F">
        <w:rPr>
          <w:lang w:eastAsia="en-US"/>
        </w:rPr>
        <w:t xml:space="preserve"> (2003) </w:t>
      </w:r>
      <w:proofErr w:type="spellStart"/>
      <w:r w:rsidRPr="004A7F1F">
        <w:rPr>
          <w:lang w:eastAsia="en-US"/>
        </w:rPr>
        <w:t>Biodegrdation</w:t>
      </w:r>
      <w:proofErr w:type="spellEnd"/>
      <w:r w:rsidRPr="004A7F1F">
        <w:rPr>
          <w:lang w:eastAsia="en-US"/>
        </w:rPr>
        <w:t xml:space="preserve"> and general aspects of bioavailability. In </w:t>
      </w:r>
      <w:proofErr w:type="spellStart"/>
      <w:r w:rsidRPr="004A7F1F">
        <w:rPr>
          <w:lang w:eastAsia="en-US"/>
        </w:rPr>
        <w:t>Douben</w:t>
      </w:r>
      <w:proofErr w:type="spellEnd"/>
      <w:r w:rsidRPr="004A7F1F">
        <w:rPr>
          <w:lang w:eastAsia="en-US"/>
        </w:rPr>
        <w:t xml:space="preserve"> (ed.) PAHs: An </w:t>
      </w:r>
      <w:proofErr w:type="spellStart"/>
      <w:r w:rsidRPr="004A7F1F">
        <w:rPr>
          <w:lang w:eastAsia="en-US"/>
        </w:rPr>
        <w:t>Ecotoxicological</w:t>
      </w:r>
      <w:proofErr w:type="spellEnd"/>
      <w:r w:rsidRPr="004A7F1F">
        <w:rPr>
          <w:lang w:eastAsia="en-US"/>
        </w:rPr>
        <w:t xml:space="preserve"> Perspective., Wiley, 81- 98</w:t>
      </w:r>
    </w:p>
    <w:p w14:paraId="204D0452" w14:textId="77777777" w:rsidR="00D011AE" w:rsidRDefault="00D011AE" w:rsidP="003B3C62">
      <w:pPr>
        <w:rPr>
          <w:lang w:eastAsia="en-US"/>
        </w:rPr>
      </w:pPr>
    </w:p>
    <w:p w14:paraId="52407755" w14:textId="10A2D9D5" w:rsidR="00306F9C" w:rsidRDefault="00306F9C" w:rsidP="003B3C62">
      <w:pPr>
        <w:rPr>
          <w:lang w:eastAsia="en-US"/>
        </w:rPr>
      </w:pPr>
      <w:r w:rsidRPr="00306F9C">
        <w:rPr>
          <w:lang w:eastAsia="en-US"/>
        </w:rPr>
        <w:t xml:space="preserve">Vu </w:t>
      </w:r>
      <w:proofErr w:type="spellStart"/>
      <w:r w:rsidRPr="00306F9C">
        <w:rPr>
          <w:lang w:eastAsia="en-US"/>
        </w:rPr>
        <w:t>Duc</w:t>
      </w:r>
      <w:proofErr w:type="spellEnd"/>
      <w:r w:rsidRPr="00306F9C">
        <w:rPr>
          <w:lang w:eastAsia="en-US"/>
        </w:rPr>
        <w:t xml:space="preserve"> T, Huynh CK (1991) Photodecomposition rates of adsorbed PAH mutagenic activity of irradiated synthetic mixtures. In: </w:t>
      </w:r>
      <w:proofErr w:type="spellStart"/>
      <w:r w:rsidRPr="00306F9C">
        <w:rPr>
          <w:lang w:eastAsia="en-US"/>
        </w:rPr>
        <w:t>Polynuclear</w:t>
      </w:r>
      <w:proofErr w:type="spellEnd"/>
      <w:r w:rsidRPr="00306F9C">
        <w:rPr>
          <w:lang w:eastAsia="en-US"/>
        </w:rPr>
        <w:t xml:space="preserve"> aromatic hydrocarbons: Measurement, means and metabolism (Cook M, </w:t>
      </w:r>
      <w:proofErr w:type="spellStart"/>
      <w:r w:rsidRPr="00306F9C">
        <w:rPr>
          <w:lang w:eastAsia="en-US"/>
        </w:rPr>
        <w:t>Loening</w:t>
      </w:r>
      <w:proofErr w:type="spellEnd"/>
      <w:r w:rsidRPr="00306F9C">
        <w:rPr>
          <w:lang w:eastAsia="en-US"/>
        </w:rPr>
        <w:t xml:space="preserve"> K, Merritt J, </w:t>
      </w:r>
      <w:proofErr w:type="spellStart"/>
      <w:proofErr w:type="gramStart"/>
      <w:r w:rsidRPr="00306F9C">
        <w:rPr>
          <w:lang w:eastAsia="en-US"/>
        </w:rPr>
        <w:t>eds</w:t>
      </w:r>
      <w:proofErr w:type="spellEnd"/>
      <w:proofErr w:type="gramEnd"/>
      <w:r w:rsidRPr="00306F9C">
        <w:rPr>
          <w:lang w:eastAsia="en-US"/>
        </w:rPr>
        <w:t>), Battelle Press, Columbus, Ohio: 979-994.</w:t>
      </w:r>
    </w:p>
    <w:p w14:paraId="2493B982" w14:textId="77777777" w:rsidR="00306F9C" w:rsidRPr="004A7F1F" w:rsidRDefault="00306F9C" w:rsidP="003B3C62">
      <w:pPr>
        <w:rPr>
          <w:lang w:eastAsia="en-US"/>
        </w:rPr>
      </w:pPr>
    </w:p>
    <w:p w14:paraId="3723A11A" w14:textId="6CE83E74" w:rsidR="0055590F" w:rsidRPr="004A7F1F" w:rsidRDefault="00313560" w:rsidP="003B3C62">
      <w:pPr>
        <w:rPr>
          <w:lang w:eastAsia="en-US"/>
        </w:rPr>
      </w:pPr>
      <w:r w:rsidRPr="004A7F1F">
        <w:rPr>
          <w:lang w:eastAsia="en-US"/>
        </w:rPr>
        <w:t xml:space="preserve">Wild S.R., </w:t>
      </w:r>
      <w:proofErr w:type="spellStart"/>
      <w:r w:rsidRPr="004A7F1F">
        <w:rPr>
          <w:lang w:eastAsia="en-US"/>
        </w:rPr>
        <w:t>Berrow</w:t>
      </w:r>
      <w:proofErr w:type="spellEnd"/>
      <w:r w:rsidRPr="004A7F1F">
        <w:rPr>
          <w:lang w:eastAsia="en-US"/>
        </w:rPr>
        <w:t xml:space="preserve"> M.L., Jones K.C. (1991): The persistence of </w:t>
      </w:r>
      <w:proofErr w:type="spellStart"/>
      <w:r w:rsidRPr="004A7F1F">
        <w:rPr>
          <w:lang w:eastAsia="en-US"/>
        </w:rPr>
        <w:t>polynuclear</w:t>
      </w:r>
      <w:proofErr w:type="spellEnd"/>
      <w:r w:rsidRPr="004A7F1F">
        <w:rPr>
          <w:lang w:eastAsia="en-US"/>
        </w:rPr>
        <w:t xml:space="preserve"> aromatic hydrocarbons (PAHs) in sewage sludge amended agricultural soils. Environmental Pollution, 72, 141-157.</w:t>
      </w:r>
    </w:p>
    <w:p w14:paraId="67EBE39F" w14:textId="77777777" w:rsidR="00D011AE" w:rsidRPr="004A7F1F" w:rsidRDefault="00D011AE" w:rsidP="003B3C62">
      <w:pPr>
        <w:rPr>
          <w:lang w:eastAsia="en-US"/>
        </w:rPr>
      </w:pPr>
    </w:p>
    <w:p w14:paraId="115C5D86" w14:textId="54477F11" w:rsidR="001F2FA5" w:rsidRPr="004A7F1F" w:rsidRDefault="00313560" w:rsidP="003B3C62">
      <w:r w:rsidRPr="004A7F1F">
        <w:t xml:space="preserve">Wild S.R., Jones K.C. (1993): Biological and abiotic losses of </w:t>
      </w:r>
      <w:proofErr w:type="spellStart"/>
      <w:r w:rsidRPr="004A7F1F">
        <w:t>polynuclear</w:t>
      </w:r>
      <w:proofErr w:type="spellEnd"/>
      <w:r w:rsidRPr="004A7F1F">
        <w:t xml:space="preserve"> aromatic hydrocarbons (PAH) from soils freshly amended with sewage sludge. Environmental Toxicology and Chemistry, 12, 5-12.</w:t>
      </w:r>
    </w:p>
    <w:p w14:paraId="115C5D87" w14:textId="77777777" w:rsidR="00B12C39" w:rsidRPr="004A7F1F" w:rsidRDefault="00B12C39" w:rsidP="003B3C62"/>
    <w:p w14:paraId="115C5D88" w14:textId="77777777" w:rsidR="00C81C2F" w:rsidRPr="004A7F1F" w:rsidRDefault="00C81C2F" w:rsidP="003B3C62"/>
    <w:p w14:paraId="115C5D89" w14:textId="77777777" w:rsidR="00B12C39" w:rsidRPr="004A7F1F" w:rsidRDefault="00B12C39" w:rsidP="005857D8">
      <w:pPr>
        <w:pStyle w:val="Heading1"/>
        <w:numPr>
          <w:ilvl w:val="0"/>
          <w:numId w:val="0"/>
        </w:numPr>
      </w:pPr>
      <w:bookmarkStart w:id="730" w:name="_Toc341888678"/>
      <w:bookmarkStart w:id="731" w:name="_Toc342400538"/>
      <w:bookmarkStart w:id="732" w:name="_Toc354499699"/>
      <w:bookmarkStart w:id="733" w:name="_Toc357083777"/>
      <w:bookmarkStart w:id="734" w:name="_Toc357184322"/>
      <w:bookmarkStart w:id="735" w:name="_Toc357184558"/>
      <w:bookmarkStart w:id="736" w:name="_Toc357185360"/>
      <w:bookmarkStart w:id="737" w:name="_Toc357186208"/>
      <w:bookmarkStart w:id="738" w:name="_Toc357186357"/>
      <w:bookmarkStart w:id="739" w:name="_Toc357437646"/>
      <w:bookmarkStart w:id="740" w:name="_Toc357590916"/>
      <w:bookmarkStart w:id="741" w:name="_Toc357692948"/>
      <w:bookmarkStart w:id="742" w:name="_Toc365649776"/>
      <w:bookmarkStart w:id="743" w:name="_Toc365649925"/>
      <w:bookmarkStart w:id="744" w:name="_Toc366489972"/>
      <w:bookmarkStart w:id="745" w:name="_Toc418498647"/>
      <w:bookmarkStart w:id="746" w:name="_Toc418506102"/>
      <w:bookmarkStart w:id="747" w:name="_Toc491868932"/>
      <w:r w:rsidRPr="004A7F1F">
        <w:t>References for Part II</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14:paraId="353DE598" w14:textId="77777777" w:rsidR="00147611" w:rsidRDefault="00147611" w:rsidP="00147611">
      <w:pPr>
        <w:rPr>
          <w:lang w:eastAsia="en-US"/>
        </w:rPr>
      </w:pPr>
      <w:r w:rsidRPr="00D95DA0">
        <w:rPr>
          <w:lang w:eastAsia="en-US"/>
        </w:rPr>
        <w:t>E</w:t>
      </w:r>
      <w:r>
        <w:rPr>
          <w:lang w:eastAsia="en-US"/>
        </w:rPr>
        <w:t>C</w:t>
      </w:r>
      <w:r w:rsidRPr="00D95DA0">
        <w:rPr>
          <w:lang w:eastAsia="en-US"/>
        </w:rPr>
        <w:t xml:space="preserve"> (2008): European Union Risk Assessment Report, Coal Tar Pitch High Temperature, CAS No: 65996-93-2, EINECS No: 266-028-2.</w:t>
      </w:r>
    </w:p>
    <w:p w14:paraId="229DC938" w14:textId="77777777" w:rsidR="00147611" w:rsidRPr="00212DCD" w:rsidRDefault="00147611" w:rsidP="00147611">
      <w:pPr>
        <w:rPr>
          <w:lang w:eastAsia="en-US"/>
        </w:rPr>
      </w:pPr>
    </w:p>
    <w:p w14:paraId="64F906AA" w14:textId="2307B95F" w:rsidR="00AA74C1" w:rsidRPr="004A7F1F" w:rsidRDefault="00AA74C1" w:rsidP="003B3C62">
      <w:pPr>
        <w:rPr>
          <w:lang w:eastAsia="en-US"/>
        </w:rPr>
      </w:pPr>
      <w:r w:rsidRPr="004A7F1F">
        <w:rPr>
          <w:lang w:eastAsia="en-US"/>
        </w:rPr>
        <w:t xml:space="preserve">ECHA </w:t>
      </w:r>
      <w:r w:rsidR="00147611">
        <w:rPr>
          <w:lang w:eastAsia="en-US"/>
        </w:rPr>
        <w:t>(</w:t>
      </w:r>
      <w:r w:rsidRPr="004A7F1F">
        <w:rPr>
          <w:lang w:eastAsia="en-US"/>
        </w:rPr>
        <w:t>2009</w:t>
      </w:r>
      <w:r w:rsidR="00147611">
        <w:rPr>
          <w:lang w:eastAsia="en-US"/>
        </w:rPr>
        <w:t>)</w:t>
      </w:r>
      <w:r w:rsidRPr="004A7F1F">
        <w:rPr>
          <w:lang w:eastAsia="en-US"/>
        </w:rPr>
        <w:t xml:space="preserve">. European Chemicals Agency. Support Document for identification of Coal Tar Pitch, High Temperature as a SVHC because of its PBT and CMR properties. </w:t>
      </w:r>
      <w:hyperlink r:id="rId14" w:history="1">
        <w:r w:rsidR="003E1799" w:rsidRPr="003E39C1">
          <w:rPr>
            <w:rStyle w:val="Hyperlink"/>
            <w:lang w:eastAsia="en-US"/>
          </w:rPr>
          <w:t>http://echa.europa.eu/documents/1016</w:t>
        </w:r>
        <w:r w:rsidR="003E1799" w:rsidRPr="00D95DA0">
          <w:rPr>
            <w:rStyle w:val="Hyperlink"/>
            <w:lang w:eastAsia="en-US"/>
          </w:rPr>
          <w:t>2/73d246d4-8c2a-4150-b656-c15948bf0e77</w:t>
        </w:r>
      </w:hyperlink>
    </w:p>
    <w:p w14:paraId="702D98B3" w14:textId="77777777" w:rsidR="003E1799" w:rsidRPr="003E39C1" w:rsidRDefault="003E1799" w:rsidP="003B3C62">
      <w:pPr>
        <w:rPr>
          <w:lang w:eastAsia="en-US"/>
        </w:rPr>
      </w:pPr>
    </w:p>
    <w:p w14:paraId="0DCB8071" w14:textId="77777777" w:rsidR="003E1799" w:rsidRPr="00212DCD" w:rsidRDefault="003E1799" w:rsidP="003B3C62">
      <w:pPr>
        <w:rPr>
          <w:lang w:eastAsia="en-US"/>
        </w:rPr>
      </w:pPr>
    </w:p>
    <w:p w14:paraId="5C60E76B" w14:textId="1EDC1C76" w:rsidR="00DA62DB" w:rsidRPr="00444B2B" w:rsidRDefault="00AA74C1" w:rsidP="00E773C0">
      <w:pPr>
        <w:rPr>
          <w:lang w:eastAsia="en-US"/>
        </w:rPr>
      </w:pPr>
      <w:r w:rsidRPr="00212DCD">
        <w:rPr>
          <w:lang w:eastAsia="en-US"/>
        </w:rPr>
        <w:t xml:space="preserve">KEMI. (2003): KEMI Report No 5/03, HA oils in automotive tyres – prospects of a national ban. Report on a government commission, Stockholm, EN, </w:t>
      </w:r>
      <w:hyperlink r:id="rId15" w:history="1">
        <w:r w:rsidR="003E1799" w:rsidRPr="003E39C1">
          <w:rPr>
            <w:rStyle w:val="Hyperlink"/>
            <w:lang w:eastAsia="en-US"/>
          </w:rPr>
          <w:t>https://www.kemi.se/Documents/Publikationer/Trycksaker/Rapporter/Rapport5_03.pdf</w:t>
        </w:r>
      </w:hyperlink>
    </w:p>
    <w:sectPr w:rsidR="00DA62DB" w:rsidRPr="00444B2B" w:rsidSect="00AF50AA">
      <w:headerReference w:type="default" r:id="rId16"/>
      <w:footerReference w:type="default" r:id="rId17"/>
      <w:footerReference w:type="first" r:id="rId18"/>
      <w:type w:val="continuous"/>
      <w:pgSz w:w="11907" w:h="16840" w:code="9"/>
      <w:pgMar w:top="1440" w:right="1440" w:bottom="1440" w:left="1440" w:header="854"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93575" w14:textId="77777777" w:rsidR="00EE622A" w:rsidRDefault="00EE622A">
      <w:r>
        <w:separator/>
      </w:r>
    </w:p>
  </w:endnote>
  <w:endnote w:type="continuationSeparator" w:id="0">
    <w:p w14:paraId="075075DB" w14:textId="77777777" w:rsidR="00EE622A" w:rsidRDefault="00EE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567041"/>
      <w:docPartObj>
        <w:docPartGallery w:val="Page Numbers (Bottom of Page)"/>
        <w:docPartUnique/>
      </w:docPartObj>
    </w:sdtPr>
    <w:sdtEndPr>
      <w:rPr>
        <w:noProof/>
        <w:sz w:val="16"/>
      </w:rPr>
    </w:sdtEndPr>
    <w:sdtContent>
      <w:p w14:paraId="54A2C255" w14:textId="1D851472" w:rsidR="00EE622A" w:rsidRPr="00EE622A" w:rsidRDefault="00EE622A">
        <w:pPr>
          <w:pStyle w:val="Footer"/>
          <w:jc w:val="right"/>
          <w:rPr>
            <w:sz w:val="16"/>
          </w:rPr>
        </w:pPr>
        <w:r w:rsidRPr="00EE622A">
          <w:rPr>
            <w:sz w:val="16"/>
          </w:rPr>
          <w:fldChar w:fldCharType="begin"/>
        </w:r>
        <w:r w:rsidRPr="00EE622A">
          <w:rPr>
            <w:sz w:val="16"/>
          </w:rPr>
          <w:instrText xml:space="preserve"> PAGE   \* MERGEFORMAT </w:instrText>
        </w:r>
        <w:r w:rsidRPr="00EE622A">
          <w:rPr>
            <w:sz w:val="16"/>
          </w:rPr>
          <w:fldChar w:fldCharType="separate"/>
        </w:r>
        <w:r w:rsidR="00E32EE3">
          <w:rPr>
            <w:noProof/>
            <w:sz w:val="16"/>
          </w:rPr>
          <w:t>20</w:t>
        </w:r>
        <w:r w:rsidRPr="00EE622A">
          <w:rPr>
            <w:noProof/>
            <w:sz w:val="16"/>
          </w:rPr>
          <w:fldChar w:fldCharType="end"/>
        </w:r>
      </w:p>
    </w:sdtContent>
  </w:sdt>
  <w:p w14:paraId="52D476FA" w14:textId="77777777" w:rsidR="00EE622A" w:rsidRDefault="00EE6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C5DB0" w14:textId="77777777" w:rsidR="00EE622A" w:rsidRPr="00DA3B32" w:rsidRDefault="00EE622A" w:rsidP="00B12C39">
    <w:pPr>
      <w:pStyle w:val="Footer"/>
    </w:pPr>
    <w:r w:rsidRPr="00DA3B32">
      <w:rPr>
        <w:lang w:val="fi-FI"/>
      </w:rPr>
      <w:br/>
    </w:r>
    <w:r w:rsidRPr="00DA3B32">
      <w:rPr>
        <w:lang w:val="fi-FI"/>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F7E20" w14:textId="77777777" w:rsidR="00EE622A" w:rsidRDefault="00EE622A">
      <w:r>
        <w:separator/>
      </w:r>
    </w:p>
  </w:footnote>
  <w:footnote w:type="continuationSeparator" w:id="0">
    <w:p w14:paraId="6F915640" w14:textId="77777777" w:rsidR="00EE622A" w:rsidRDefault="00EE622A">
      <w:r>
        <w:continuationSeparator/>
      </w:r>
    </w:p>
  </w:footnote>
  <w:footnote w:id="1">
    <w:p w14:paraId="115C5DB2" w14:textId="44177143" w:rsidR="00EE622A" w:rsidRDefault="00EE622A">
      <w:pPr>
        <w:pStyle w:val="FootnoteText"/>
      </w:pPr>
      <w:r w:rsidRPr="00A35A9F">
        <w:rPr>
          <w:rStyle w:val="FootnoteReference"/>
          <w:rFonts w:ascii="Verdana" w:hAnsi="Verdana"/>
          <w:sz w:val="20"/>
        </w:rPr>
        <w:footnoteRef/>
      </w:r>
      <w:r w:rsidRPr="00A35A9F">
        <w:t xml:space="preserve"> </w:t>
      </w:r>
      <w:r>
        <w:rPr>
          <w:sz w:val="16"/>
          <w:szCs w:val="16"/>
        </w:rPr>
        <w:t>Classification in accordance with section 3 of Annex I to Regulation (EC) No 1272/2008.</w:t>
      </w:r>
    </w:p>
  </w:footnote>
  <w:footnote w:id="2">
    <w:p w14:paraId="66624150" w14:textId="77777777" w:rsidR="00EE622A" w:rsidRDefault="00EE622A" w:rsidP="000F5601">
      <w:pPr>
        <w:pStyle w:val="FootnoteText"/>
      </w:pPr>
      <w:r w:rsidRPr="0054522D">
        <w:rPr>
          <w:rStyle w:val="FootnoteReference"/>
          <w:rFonts w:ascii="Verdana" w:hAnsi="Verdana"/>
        </w:rPr>
        <w:footnoteRef/>
      </w:r>
      <w:r w:rsidRPr="0054522D">
        <w:t xml:space="preserve"> </w:t>
      </w:r>
      <w:r w:rsidRPr="004C3DE6">
        <w:rPr>
          <w:rFonts w:cs="TimesNewRomanPSMT"/>
          <w:sz w:val="16"/>
          <w:szCs w:val="16"/>
          <w:lang w:eastAsia="en-GB"/>
        </w:rPr>
        <w:t>Substances of Unknown or Variable composition, Complex reaction products or Biological</w:t>
      </w:r>
      <w:r>
        <w:rPr>
          <w:rFonts w:cs="TimesNewRomanPSMT"/>
          <w:sz w:val="16"/>
          <w:szCs w:val="16"/>
          <w:lang w:eastAsia="en-GB"/>
        </w:rPr>
        <w:t xml:space="preserve"> </w:t>
      </w:r>
      <w:r w:rsidRPr="004C3DE6">
        <w:rPr>
          <w:rFonts w:cs="TimesNewRomanPSMT"/>
          <w:sz w:val="16"/>
          <w:szCs w:val="16"/>
          <w:lang w:eastAsia="en-GB"/>
        </w:rPr>
        <w:t>materials</w:t>
      </w:r>
    </w:p>
  </w:footnote>
  <w:footnote w:id="3">
    <w:p w14:paraId="115C5DC4" w14:textId="5D9F4B0D" w:rsidR="00EE622A" w:rsidRDefault="00EE622A" w:rsidP="001340DF">
      <w:pPr>
        <w:pStyle w:val="FootnoteText"/>
      </w:pPr>
      <w:r w:rsidRPr="001340DF">
        <w:rPr>
          <w:rStyle w:val="FootnoteReference"/>
          <w:rFonts w:ascii="Verdana" w:hAnsi="Verdana"/>
        </w:rPr>
        <w:footnoteRef/>
      </w:r>
      <w:r w:rsidRPr="001340DF">
        <w:t xml:space="preserve"> </w:t>
      </w:r>
      <w:r>
        <w:rPr>
          <w:sz w:val="16"/>
          <w:szCs w:val="16"/>
        </w:rPr>
        <w:t xml:space="preserve">C&amp;L Inventory database, </w:t>
      </w:r>
      <w:hyperlink r:id="rId1" w:history="1">
        <w:r w:rsidRPr="00904836">
          <w:rPr>
            <w:rStyle w:val="Hyperlink"/>
            <w:sz w:val="16"/>
            <w:szCs w:val="16"/>
          </w:rPr>
          <w:t>http://echa.europa.eu/web/guest/information-on-chemicals/cl-inventory-database</w:t>
        </w:r>
      </w:hyperlink>
      <w:r w:rsidRPr="00904836">
        <w:rPr>
          <w:sz w:val="16"/>
          <w:szCs w:val="16"/>
        </w:rPr>
        <w:t xml:space="preserve"> (accessed </w:t>
      </w:r>
      <w:r w:rsidRPr="003B3C62">
        <w:rPr>
          <w:sz w:val="16"/>
          <w:szCs w:val="16"/>
        </w:rPr>
        <w:t>15</w:t>
      </w:r>
      <w:r>
        <w:rPr>
          <w:sz w:val="16"/>
          <w:szCs w:val="16"/>
        </w:rPr>
        <w:t>.</w:t>
      </w:r>
      <w:r w:rsidRPr="003B3C62">
        <w:rPr>
          <w:sz w:val="16"/>
          <w:szCs w:val="16"/>
        </w:rPr>
        <w:t xml:space="preserve"> November 20</w:t>
      </w:r>
      <w:r w:rsidRPr="00E904D6">
        <w:rPr>
          <w:sz w:val="16"/>
          <w:szCs w:val="16"/>
        </w:rPr>
        <w:t>1</w:t>
      </w:r>
      <w:r>
        <w:rPr>
          <w:sz w:val="16"/>
          <w:szCs w:val="16"/>
        </w:rPr>
        <w:t>6)</w:t>
      </w:r>
    </w:p>
  </w:footnote>
  <w:footnote w:id="4">
    <w:p w14:paraId="236C7000" w14:textId="1211632E" w:rsidR="00EE622A" w:rsidRPr="00F61FE3" w:rsidRDefault="00EE622A" w:rsidP="00F61FE3">
      <w:pPr>
        <w:pStyle w:val="FootnoteText"/>
        <w:ind w:left="142" w:hanging="142"/>
        <w:rPr>
          <w:sz w:val="16"/>
          <w:szCs w:val="16"/>
        </w:rPr>
      </w:pPr>
      <w:r w:rsidRPr="00F61FE3">
        <w:rPr>
          <w:rStyle w:val="FootnoteReference"/>
          <w:rFonts w:ascii="Verdana" w:hAnsi="Verdana"/>
          <w:szCs w:val="16"/>
        </w:rPr>
        <w:footnoteRef/>
      </w:r>
      <w:r w:rsidRPr="00F61FE3">
        <w:rPr>
          <w:sz w:val="16"/>
          <w:szCs w:val="16"/>
        </w:rPr>
        <w:t xml:space="preserve"> </w:t>
      </w:r>
      <w:proofErr w:type="spellStart"/>
      <w:r w:rsidRPr="00F61FE3">
        <w:rPr>
          <w:sz w:val="16"/>
          <w:szCs w:val="16"/>
        </w:rPr>
        <w:t>Concawe</w:t>
      </w:r>
      <w:proofErr w:type="spellEnd"/>
      <w:r w:rsidRPr="00F61FE3">
        <w:rPr>
          <w:sz w:val="16"/>
          <w:szCs w:val="16"/>
        </w:rPr>
        <w:t xml:space="preserve"> is a division of the European Petroleum Refiners Association and supports members in implementation of the REACH regulation</w:t>
      </w:r>
    </w:p>
  </w:footnote>
  <w:footnote w:id="5">
    <w:p w14:paraId="51D59966" w14:textId="569BFCB6" w:rsidR="00EE622A" w:rsidRPr="00F61FE3" w:rsidRDefault="00EE622A">
      <w:pPr>
        <w:pStyle w:val="FootnoteText"/>
        <w:rPr>
          <w:sz w:val="16"/>
          <w:szCs w:val="16"/>
          <w:lang w:val="en-US"/>
        </w:rPr>
      </w:pPr>
      <w:r w:rsidRPr="00F61FE3">
        <w:rPr>
          <w:rStyle w:val="FootnoteReference"/>
          <w:rFonts w:ascii="Verdana" w:hAnsi="Verdana"/>
          <w:szCs w:val="16"/>
        </w:rPr>
        <w:footnoteRef/>
      </w:r>
      <w:r w:rsidRPr="00F61FE3">
        <w:rPr>
          <w:sz w:val="16"/>
          <w:szCs w:val="16"/>
        </w:rPr>
        <w:t xml:space="preserve"> European Chemical Industry Council </w:t>
      </w:r>
    </w:p>
  </w:footnote>
  <w:footnote w:id="6">
    <w:p w14:paraId="6919D7C2" w14:textId="36CD2A66" w:rsidR="00EE622A" w:rsidRPr="00E877F5" w:rsidRDefault="00EE622A">
      <w:pPr>
        <w:pStyle w:val="FootnoteText"/>
        <w:rPr>
          <w:lang w:val="en-US"/>
        </w:rPr>
      </w:pPr>
      <w:r w:rsidRPr="00F61FE3">
        <w:rPr>
          <w:rStyle w:val="FootnoteReference"/>
          <w:rFonts w:ascii="Verdana" w:hAnsi="Verdana"/>
          <w:szCs w:val="16"/>
        </w:rPr>
        <w:footnoteRef/>
      </w:r>
      <w:r w:rsidRPr="00F61FE3">
        <w:rPr>
          <w:sz w:val="16"/>
          <w:szCs w:val="16"/>
        </w:rPr>
        <w:t xml:space="preserve"> Lower Olefins and Aromatics Reach Consortium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660CF" w14:textId="77777777" w:rsidR="00EE622A" w:rsidRDefault="00EE622A" w:rsidP="00EE622A">
    <w:pPr>
      <w:pStyle w:val="Header"/>
      <w:pBdr>
        <w:bottom w:val="single" w:sz="4" w:space="1" w:color="auto"/>
      </w:pBdr>
    </w:pPr>
    <w:r>
      <w:t>ANNEX XV – IDENTIFICATION OF CHRYSENE AS SVHC</w:t>
    </w:r>
  </w:p>
  <w:p w14:paraId="72676811" w14:textId="73B9D892" w:rsidR="00EE622A" w:rsidRPr="00EE622A" w:rsidRDefault="00EE622A" w:rsidP="00EE6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151E"/>
    <w:multiLevelType w:val="hybridMultilevel"/>
    <w:tmpl w:val="B1D0F2DA"/>
    <w:lvl w:ilvl="0" w:tplc="50D6ADE4">
      <w:start w:val="1"/>
      <w:numFmt w:val="bullet"/>
      <w:lvlText w:val=""/>
      <w:lvlJc w:val="left"/>
      <w:pPr>
        <w:ind w:left="5421" w:hanging="360"/>
      </w:pPr>
      <w:rPr>
        <w:rFonts w:ascii="Symbol" w:hAnsi="Symbol" w:hint="default"/>
        <w:color w:val="auto"/>
      </w:rPr>
    </w:lvl>
    <w:lvl w:ilvl="1" w:tplc="08090003" w:tentative="1">
      <w:start w:val="1"/>
      <w:numFmt w:val="bullet"/>
      <w:lvlText w:val="o"/>
      <w:lvlJc w:val="left"/>
      <w:pPr>
        <w:ind w:left="6141" w:hanging="360"/>
      </w:pPr>
      <w:rPr>
        <w:rFonts w:ascii="Courier New" w:hAnsi="Courier New" w:cs="Courier New" w:hint="default"/>
      </w:rPr>
    </w:lvl>
    <w:lvl w:ilvl="2" w:tplc="08090005" w:tentative="1">
      <w:start w:val="1"/>
      <w:numFmt w:val="bullet"/>
      <w:lvlText w:val=""/>
      <w:lvlJc w:val="left"/>
      <w:pPr>
        <w:ind w:left="6861" w:hanging="360"/>
      </w:pPr>
      <w:rPr>
        <w:rFonts w:ascii="Wingdings" w:hAnsi="Wingdings" w:hint="default"/>
      </w:rPr>
    </w:lvl>
    <w:lvl w:ilvl="3" w:tplc="08090001" w:tentative="1">
      <w:start w:val="1"/>
      <w:numFmt w:val="bullet"/>
      <w:lvlText w:val=""/>
      <w:lvlJc w:val="left"/>
      <w:pPr>
        <w:ind w:left="7581" w:hanging="360"/>
      </w:pPr>
      <w:rPr>
        <w:rFonts w:ascii="Symbol" w:hAnsi="Symbol" w:hint="default"/>
      </w:rPr>
    </w:lvl>
    <w:lvl w:ilvl="4" w:tplc="08090003" w:tentative="1">
      <w:start w:val="1"/>
      <w:numFmt w:val="bullet"/>
      <w:lvlText w:val="o"/>
      <w:lvlJc w:val="left"/>
      <w:pPr>
        <w:ind w:left="8301" w:hanging="360"/>
      </w:pPr>
      <w:rPr>
        <w:rFonts w:ascii="Courier New" w:hAnsi="Courier New" w:cs="Courier New" w:hint="default"/>
      </w:rPr>
    </w:lvl>
    <w:lvl w:ilvl="5" w:tplc="08090005" w:tentative="1">
      <w:start w:val="1"/>
      <w:numFmt w:val="bullet"/>
      <w:lvlText w:val=""/>
      <w:lvlJc w:val="left"/>
      <w:pPr>
        <w:ind w:left="9021" w:hanging="360"/>
      </w:pPr>
      <w:rPr>
        <w:rFonts w:ascii="Wingdings" w:hAnsi="Wingdings" w:hint="default"/>
      </w:rPr>
    </w:lvl>
    <w:lvl w:ilvl="6" w:tplc="08090001" w:tentative="1">
      <w:start w:val="1"/>
      <w:numFmt w:val="bullet"/>
      <w:lvlText w:val=""/>
      <w:lvlJc w:val="left"/>
      <w:pPr>
        <w:ind w:left="9741" w:hanging="360"/>
      </w:pPr>
      <w:rPr>
        <w:rFonts w:ascii="Symbol" w:hAnsi="Symbol" w:hint="default"/>
      </w:rPr>
    </w:lvl>
    <w:lvl w:ilvl="7" w:tplc="08090003" w:tentative="1">
      <w:start w:val="1"/>
      <w:numFmt w:val="bullet"/>
      <w:lvlText w:val="o"/>
      <w:lvlJc w:val="left"/>
      <w:pPr>
        <w:ind w:left="10461" w:hanging="360"/>
      </w:pPr>
      <w:rPr>
        <w:rFonts w:ascii="Courier New" w:hAnsi="Courier New" w:cs="Courier New" w:hint="default"/>
      </w:rPr>
    </w:lvl>
    <w:lvl w:ilvl="8" w:tplc="08090005" w:tentative="1">
      <w:start w:val="1"/>
      <w:numFmt w:val="bullet"/>
      <w:lvlText w:val=""/>
      <w:lvlJc w:val="left"/>
      <w:pPr>
        <w:ind w:left="11181" w:hanging="360"/>
      </w:pPr>
      <w:rPr>
        <w:rFonts w:ascii="Wingdings" w:hAnsi="Wingdings" w:hint="default"/>
      </w:rPr>
    </w:lvl>
  </w:abstractNum>
  <w:abstractNum w:abstractNumId="1" w15:restartNumberingAfterBreak="0">
    <w:nsid w:val="0B7E11D4"/>
    <w:multiLevelType w:val="hybridMultilevel"/>
    <w:tmpl w:val="F13C4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D7ED3"/>
    <w:multiLevelType w:val="hybridMultilevel"/>
    <w:tmpl w:val="5E36D17A"/>
    <w:lvl w:ilvl="0" w:tplc="C84E037E">
      <w:start w:val="1"/>
      <w:numFmt w:val="bullet"/>
      <w:pStyle w:val="ListBullet"/>
      <w:lvlText w:val=""/>
      <w:lvlJc w:val="left"/>
      <w:pPr>
        <w:tabs>
          <w:tab w:val="num" w:pos="425"/>
        </w:tabs>
        <w:ind w:left="425" w:hanging="425"/>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B96637"/>
    <w:multiLevelType w:val="hybridMultilevel"/>
    <w:tmpl w:val="3FBA4C5E"/>
    <w:lvl w:ilvl="0" w:tplc="3C62EC34">
      <w:numFmt w:val="bullet"/>
      <w:lvlText w:val="-"/>
      <w:lvlJc w:val="left"/>
      <w:pPr>
        <w:tabs>
          <w:tab w:val="num" w:pos="720"/>
        </w:tabs>
        <w:ind w:left="720" w:hanging="360"/>
      </w:pPr>
      <w:rPr>
        <w:rFonts w:ascii="Arial" w:eastAsia="Times New Roman" w:hAnsi="Arial" w:hint="default"/>
      </w:rPr>
    </w:lvl>
    <w:lvl w:ilvl="1" w:tplc="3C62EC34">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32022"/>
    <w:multiLevelType w:val="hybridMultilevel"/>
    <w:tmpl w:val="EA80C2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3">
      <w:start w:val="1"/>
      <w:numFmt w:val="bullet"/>
      <w:lvlText w:val="o"/>
      <w:lvlJc w:val="left"/>
      <w:pPr>
        <w:ind w:left="2880" w:hanging="360"/>
      </w:pPr>
      <w:rPr>
        <w:rFonts w:ascii="Courier New" w:hAnsi="Courier New" w:hint="default"/>
      </w:rPr>
    </w:lvl>
    <w:lvl w:ilvl="3" w:tplc="3C62EC34">
      <w:numFmt w:val="bullet"/>
      <w:lvlText w:val="-"/>
      <w:lvlJc w:val="left"/>
      <w:pPr>
        <w:ind w:left="3600" w:hanging="360"/>
      </w:pPr>
      <w:rPr>
        <w:rFonts w:ascii="Arial" w:eastAsia="Times New Roman" w:hAnsi="Aria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313465"/>
    <w:multiLevelType w:val="multilevel"/>
    <w:tmpl w:val="783E4D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8AE272B"/>
    <w:multiLevelType w:val="hybridMultilevel"/>
    <w:tmpl w:val="CA7EEF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03364C"/>
    <w:multiLevelType w:val="hybridMultilevel"/>
    <w:tmpl w:val="5CBACA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6D6241"/>
    <w:multiLevelType w:val="multilevel"/>
    <w:tmpl w:val="3BAA4868"/>
    <w:lvl w:ilvl="0">
      <w:start w:val="4"/>
      <w:numFmt w:val="decimal"/>
      <w:lvlText w:val="%1"/>
      <w:lvlJc w:val="left"/>
      <w:pPr>
        <w:ind w:left="588" w:hanging="588"/>
      </w:pPr>
      <w:rPr>
        <w:rFonts w:hint="default"/>
        <w:i w:val="0"/>
      </w:rPr>
    </w:lvl>
    <w:lvl w:ilvl="1">
      <w:start w:val="10"/>
      <w:numFmt w:val="decimal"/>
      <w:lvlText w:val="%1.%2"/>
      <w:lvlJc w:val="left"/>
      <w:pPr>
        <w:ind w:left="720" w:hanging="720"/>
      </w:pPr>
      <w:rPr>
        <w:rFonts w:hint="default"/>
        <w:i w:val="0"/>
      </w:rPr>
    </w:lvl>
    <w:lvl w:ilvl="2">
      <w:start w:val="1"/>
      <w:numFmt w:val="decimal"/>
      <w:lvlText w:val="%1.%2.%3"/>
      <w:lvlJc w:val="left"/>
      <w:pPr>
        <w:ind w:left="1080" w:hanging="108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2160" w:hanging="216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9"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911A0E"/>
    <w:multiLevelType w:val="hybridMultilevel"/>
    <w:tmpl w:val="788E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B0CBE"/>
    <w:multiLevelType w:val="hybridMultilevel"/>
    <w:tmpl w:val="B56CA8E8"/>
    <w:lvl w:ilvl="0" w:tplc="46BCF86A">
      <w:start w:val="1"/>
      <w:numFmt w:val="lowerLetter"/>
      <w:lvlText w:val="(%1)"/>
      <w:lvlJc w:val="left"/>
      <w:pPr>
        <w:ind w:left="1664" w:hanging="360"/>
      </w:pPr>
      <w:rPr>
        <w:rFonts w:cs="Times New Roman" w:hint="default"/>
      </w:rPr>
    </w:lvl>
    <w:lvl w:ilvl="1" w:tplc="08090019" w:tentative="1">
      <w:start w:val="1"/>
      <w:numFmt w:val="lowerLetter"/>
      <w:lvlText w:val="%2."/>
      <w:lvlJc w:val="left"/>
      <w:pPr>
        <w:ind w:left="2384" w:hanging="360"/>
      </w:pPr>
      <w:rPr>
        <w:rFonts w:cs="Times New Roman"/>
      </w:rPr>
    </w:lvl>
    <w:lvl w:ilvl="2" w:tplc="0809001B" w:tentative="1">
      <w:start w:val="1"/>
      <w:numFmt w:val="lowerRoman"/>
      <w:lvlText w:val="%3."/>
      <w:lvlJc w:val="right"/>
      <w:pPr>
        <w:ind w:left="3104" w:hanging="180"/>
      </w:pPr>
      <w:rPr>
        <w:rFonts w:cs="Times New Roman"/>
      </w:rPr>
    </w:lvl>
    <w:lvl w:ilvl="3" w:tplc="0809000F" w:tentative="1">
      <w:start w:val="1"/>
      <w:numFmt w:val="decimal"/>
      <w:lvlText w:val="%4."/>
      <w:lvlJc w:val="left"/>
      <w:pPr>
        <w:ind w:left="3824" w:hanging="360"/>
      </w:pPr>
      <w:rPr>
        <w:rFonts w:cs="Times New Roman"/>
      </w:rPr>
    </w:lvl>
    <w:lvl w:ilvl="4" w:tplc="08090019" w:tentative="1">
      <w:start w:val="1"/>
      <w:numFmt w:val="lowerLetter"/>
      <w:lvlText w:val="%5."/>
      <w:lvlJc w:val="left"/>
      <w:pPr>
        <w:ind w:left="4544" w:hanging="360"/>
      </w:pPr>
      <w:rPr>
        <w:rFonts w:cs="Times New Roman"/>
      </w:rPr>
    </w:lvl>
    <w:lvl w:ilvl="5" w:tplc="0809001B" w:tentative="1">
      <w:start w:val="1"/>
      <w:numFmt w:val="lowerRoman"/>
      <w:lvlText w:val="%6."/>
      <w:lvlJc w:val="right"/>
      <w:pPr>
        <w:ind w:left="5264" w:hanging="180"/>
      </w:pPr>
      <w:rPr>
        <w:rFonts w:cs="Times New Roman"/>
      </w:rPr>
    </w:lvl>
    <w:lvl w:ilvl="6" w:tplc="0809000F" w:tentative="1">
      <w:start w:val="1"/>
      <w:numFmt w:val="decimal"/>
      <w:lvlText w:val="%7."/>
      <w:lvlJc w:val="left"/>
      <w:pPr>
        <w:ind w:left="5984" w:hanging="360"/>
      </w:pPr>
      <w:rPr>
        <w:rFonts w:cs="Times New Roman"/>
      </w:rPr>
    </w:lvl>
    <w:lvl w:ilvl="7" w:tplc="08090019" w:tentative="1">
      <w:start w:val="1"/>
      <w:numFmt w:val="lowerLetter"/>
      <w:lvlText w:val="%8."/>
      <w:lvlJc w:val="left"/>
      <w:pPr>
        <w:ind w:left="6704" w:hanging="360"/>
      </w:pPr>
      <w:rPr>
        <w:rFonts w:cs="Times New Roman"/>
      </w:rPr>
    </w:lvl>
    <w:lvl w:ilvl="8" w:tplc="0809001B" w:tentative="1">
      <w:start w:val="1"/>
      <w:numFmt w:val="lowerRoman"/>
      <w:lvlText w:val="%9."/>
      <w:lvlJc w:val="right"/>
      <w:pPr>
        <w:ind w:left="7424" w:hanging="180"/>
      </w:pPr>
      <w:rPr>
        <w:rFonts w:cs="Times New Roman"/>
      </w:rPr>
    </w:lvl>
  </w:abstractNum>
  <w:abstractNum w:abstractNumId="12" w15:restartNumberingAfterBreak="0">
    <w:nsid w:val="469C217B"/>
    <w:multiLevelType w:val="hybridMultilevel"/>
    <w:tmpl w:val="6C4888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3">
      <w:start w:val="1"/>
      <w:numFmt w:val="bullet"/>
      <w:lvlText w:val="o"/>
      <w:lvlJc w:val="left"/>
      <w:pPr>
        <w:ind w:left="2880" w:hanging="360"/>
      </w:pPr>
      <w:rPr>
        <w:rFonts w:ascii="Courier New" w:hAnsi="Courier New"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F4470C"/>
    <w:multiLevelType w:val="hybridMultilevel"/>
    <w:tmpl w:val="A372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15FEB"/>
    <w:multiLevelType w:val="hybridMultilevel"/>
    <w:tmpl w:val="B03C5B12"/>
    <w:lvl w:ilvl="0" w:tplc="9EC2FF12">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596437"/>
    <w:multiLevelType w:val="hybridMultilevel"/>
    <w:tmpl w:val="155E226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3">
      <w:start w:val="1"/>
      <w:numFmt w:val="bullet"/>
      <w:lvlText w:val="o"/>
      <w:lvlJc w:val="left"/>
      <w:pPr>
        <w:ind w:left="2880" w:hanging="360"/>
      </w:pPr>
      <w:rPr>
        <w:rFonts w:ascii="Courier New" w:hAnsi="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D13098A"/>
    <w:multiLevelType w:val="hybridMultilevel"/>
    <w:tmpl w:val="66B83F02"/>
    <w:lvl w:ilvl="0" w:tplc="3C62EC34">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E4A2389"/>
    <w:multiLevelType w:val="hybridMultilevel"/>
    <w:tmpl w:val="15A2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157233"/>
    <w:multiLevelType w:val="hybridMultilevel"/>
    <w:tmpl w:val="0DCCB9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BD5819"/>
    <w:multiLevelType w:val="hybridMultilevel"/>
    <w:tmpl w:val="ABB85468"/>
    <w:lvl w:ilvl="0" w:tplc="3C62EC34">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C62EC34">
      <w:numFmt w:val="bullet"/>
      <w:lvlText w:val="-"/>
      <w:lvlJc w:val="left"/>
      <w:pPr>
        <w:tabs>
          <w:tab w:val="num" w:pos="2160"/>
        </w:tabs>
        <w:ind w:left="2160" w:hanging="360"/>
      </w:pPr>
      <w:rPr>
        <w:rFonts w:ascii="Arial" w:eastAsia="Times New Roman" w:hAnsi="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C36690"/>
    <w:multiLevelType w:val="hybridMultilevel"/>
    <w:tmpl w:val="F05C7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4A3F52"/>
    <w:multiLevelType w:val="hybridMultilevel"/>
    <w:tmpl w:val="0160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FC068F"/>
    <w:multiLevelType w:val="hybridMultilevel"/>
    <w:tmpl w:val="9C96C6E6"/>
    <w:lvl w:ilvl="0" w:tplc="5FB4D32A">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36B13"/>
    <w:multiLevelType w:val="hybridMultilevel"/>
    <w:tmpl w:val="1A36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416B90"/>
    <w:multiLevelType w:val="multilevel"/>
    <w:tmpl w:val="CC1CFA68"/>
    <w:lvl w:ilvl="0">
      <w:start w:val="1"/>
      <w:numFmt w:val="upperRoman"/>
      <w:pStyle w:val="Heading"/>
      <w:lvlText w:val="Annex %1"/>
      <w:lvlJc w:val="left"/>
      <w:pPr>
        <w:tabs>
          <w:tab w:val="num" w:pos="1077"/>
        </w:tabs>
        <w:ind w:left="1077" w:hanging="1077"/>
      </w:pPr>
      <w:rPr>
        <w:rFonts w:ascii="Verdana" w:hAnsi="Verdana" w:cs="Times New Roman" w:hint="default"/>
        <w:b/>
        <w:i w:val="0"/>
        <w:sz w:val="28"/>
      </w:rPr>
    </w:lvl>
    <w:lvl w:ilvl="1">
      <w:start w:val="1"/>
      <w:numFmt w:val="decimal"/>
      <w:lvlText w:val="%1.%2"/>
      <w:lvlJc w:val="left"/>
      <w:pPr>
        <w:tabs>
          <w:tab w:val="num" w:pos="1077"/>
        </w:tabs>
        <w:ind w:left="1077" w:hanging="1077"/>
      </w:pPr>
      <w:rPr>
        <w:rFonts w:ascii="Times New Roman" w:hAnsi="Times New Roman" w:cs="Times New Roman" w:hint="default"/>
        <w:b/>
        <w:i w:val="0"/>
        <w:sz w:val="24"/>
      </w:rPr>
    </w:lvl>
    <w:lvl w:ilvl="2">
      <w:start w:val="1"/>
      <w:numFmt w:val="decimal"/>
      <w:lvlText w:val="%1.%2.%3"/>
      <w:lvlJc w:val="left"/>
      <w:pPr>
        <w:tabs>
          <w:tab w:val="num" w:pos="1077"/>
        </w:tabs>
        <w:ind w:left="1077" w:hanging="1077"/>
      </w:pPr>
      <w:rPr>
        <w:rFonts w:ascii="Times New Roman" w:hAnsi="Times New Roman" w:cs="Times New Roman" w:hint="default"/>
        <w:b/>
        <w:i w:val="0"/>
        <w:sz w:val="24"/>
      </w:rPr>
    </w:lvl>
    <w:lvl w:ilvl="3">
      <w:start w:val="1"/>
      <w:numFmt w:val="decimal"/>
      <w:lvlText w:val="%1.%2.%3.%4"/>
      <w:lvlJc w:val="left"/>
      <w:pPr>
        <w:tabs>
          <w:tab w:val="num" w:pos="1077"/>
        </w:tabs>
        <w:ind w:left="1304" w:hanging="1020"/>
      </w:pPr>
      <w:rPr>
        <w:rFonts w:ascii="Times New Roman" w:hAnsi="Times New Roman" w:cs="Times New Roman" w:hint="default"/>
        <w:b/>
        <w:i w:val="0"/>
        <w:sz w:val="24"/>
      </w:rPr>
    </w:lvl>
    <w:lvl w:ilvl="4">
      <w:start w:val="1"/>
      <w:numFmt w:val="decimal"/>
      <w:lvlText w:val="%1.%2.%3.%4.%5"/>
      <w:lvlJc w:val="left"/>
      <w:pPr>
        <w:tabs>
          <w:tab w:val="num" w:pos="1843"/>
        </w:tabs>
        <w:ind w:left="1843" w:hanging="1843"/>
      </w:pPr>
      <w:rPr>
        <w:rFonts w:ascii="Times New Roman" w:hAnsi="Times New Roman" w:cs="Times New Roman" w:hint="default"/>
        <w:b/>
        <w:i w:val="0"/>
        <w:sz w:val="24"/>
      </w:rPr>
    </w:lvl>
    <w:lvl w:ilvl="5">
      <w:start w:val="1"/>
      <w:numFmt w:val="none"/>
      <w:lvlText w:val="%1.%2.%3.%4.%5.%61."/>
      <w:lvlJc w:val="left"/>
      <w:pPr>
        <w:tabs>
          <w:tab w:val="num" w:pos="1843"/>
        </w:tabs>
        <w:ind w:left="1843" w:hanging="1843"/>
      </w:pPr>
      <w:rPr>
        <w:rFonts w:cs="Times New Roman" w:hint="default"/>
        <w:b/>
        <w:i w:val="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6FAF5347"/>
    <w:multiLevelType w:val="hybridMultilevel"/>
    <w:tmpl w:val="2B7A671E"/>
    <w:lvl w:ilvl="0" w:tplc="08090001">
      <w:start w:val="1"/>
      <w:numFmt w:val="bullet"/>
      <w:lvlText w:val=""/>
      <w:lvlJc w:val="left"/>
      <w:pPr>
        <w:ind w:left="4701" w:hanging="360"/>
      </w:pPr>
      <w:rPr>
        <w:rFonts w:ascii="Symbol" w:hAnsi="Symbol" w:hint="default"/>
      </w:rPr>
    </w:lvl>
    <w:lvl w:ilvl="1" w:tplc="08090003" w:tentative="1">
      <w:start w:val="1"/>
      <w:numFmt w:val="bullet"/>
      <w:lvlText w:val="o"/>
      <w:lvlJc w:val="left"/>
      <w:pPr>
        <w:ind w:left="5421" w:hanging="360"/>
      </w:pPr>
      <w:rPr>
        <w:rFonts w:ascii="Courier New" w:hAnsi="Courier New" w:cs="Courier New" w:hint="default"/>
      </w:rPr>
    </w:lvl>
    <w:lvl w:ilvl="2" w:tplc="08090005" w:tentative="1">
      <w:start w:val="1"/>
      <w:numFmt w:val="bullet"/>
      <w:lvlText w:val=""/>
      <w:lvlJc w:val="left"/>
      <w:pPr>
        <w:ind w:left="6141" w:hanging="360"/>
      </w:pPr>
      <w:rPr>
        <w:rFonts w:ascii="Wingdings" w:hAnsi="Wingdings" w:hint="default"/>
      </w:rPr>
    </w:lvl>
    <w:lvl w:ilvl="3" w:tplc="08090001" w:tentative="1">
      <w:start w:val="1"/>
      <w:numFmt w:val="bullet"/>
      <w:lvlText w:val=""/>
      <w:lvlJc w:val="left"/>
      <w:pPr>
        <w:ind w:left="6861" w:hanging="360"/>
      </w:pPr>
      <w:rPr>
        <w:rFonts w:ascii="Symbol" w:hAnsi="Symbol" w:hint="default"/>
      </w:rPr>
    </w:lvl>
    <w:lvl w:ilvl="4" w:tplc="08090003" w:tentative="1">
      <w:start w:val="1"/>
      <w:numFmt w:val="bullet"/>
      <w:lvlText w:val="o"/>
      <w:lvlJc w:val="left"/>
      <w:pPr>
        <w:ind w:left="7581" w:hanging="360"/>
      </w:pPr>
      <w:rPr>
        <w:rFonts w:ascii="Courier New" w:hAnsi="Courier New" w:cs="Courier New" w:hint="default"/>
      </w:rPr>
    </w:lvl>
    <w:lvl w:ilvl="5" w:tplc="08090005" w:tentative="1">
      <w:start w:val="1"/>
      <w:numFmt w:val="bullet"/>
      <w:lvlText w:val=""/>
      <w:lvlJc w:val="left"/>
      <w:pPr>
        <w:ind w:left="8301" w:hanging="360"/>
      </w:pPr>
      <w:rPr>
        <w:rFonts w:ascii="Wingdings" w:hAnsi="Wingdings" w:hint="default"/>
      </w:rPr>
    </w:lvl>
    <w:lvl w:ilvl="6" w:tplc="08090001" w:tentative="1">
      <w:start w:val="1"/>
      <w:numFmt w:val="bullet"/>
      <w:lvlText w:val=""/>
      <w:lvlJc w:val="left"/>
      <w:pPr>
        <w:ind w:left="9021" w:hanging="360"/>
      </w:pPr>
      <w:rPr>
        <w:rFonts w:ascii="Symbol" w:hAnsi="Symbol" w:hint="default"/>
      </w:rPr>
    </w:lvl>
    <w:lvl w:ilvl="7" w:tplc="08090003" w:tentative="1">
      <w:start w:val="1"/>
      <w:numFmt w:val="bullet"/>
      <w:lvlText w:val="o"/>
      <w:lvlJc w:val="left"/>
      <w:pPr>
        <w:ind w:left="9741" w:hanging="360"/>
      </w:pPr>
      <w:rPr>
        <w:rFonts w:ascii="Courier New" w:hAnsi="Courier New" w:cs="Courier New" w:hint="default"/>
      </w:rPr>
    </w:lvl>
    <w:lvl w:ilvl="8" w:tplc="08090005" w:tentative="1">
      <w:start w:val="1"/>
      <w:numFmt w:val="bullet"/>
      <w:lvlText w:val=""/>
      <w:lvlJc w:val="left"/>
      <w:pPr>
        <w:ind w:left="10461" w:hanging="360"/>
      </w:pPr>
      <w:rPr>
        <w:rFonts w:ascii="Wingdings" w:hAnsi="Wingdings" w:hint="default"/>
      </w:rPr>
    </w:lvl>
  </w:abstractNum>
  <w:abstractNum w:abstractNumId="27" w15:restartNumberingAfterBreak="0">
    <w:nsid w:val="71E833B2"/>
    <w:multiLevelType w:val="hybridMultilevel"/>
    <w:tmpl w:val="6B6EC1D0"/>
    <w:lvl w:ilvl="0" w:tplc="3C62EC34">
      <w:numFmt w:val="bullet"/>
      <w:lvlText w:val="-"/>
      <w:lvlJc w:val="left"/>
      <w:pPr>
        <w:tabs>
          <w:tab w:val="num" w:pos="720"/>
        </w:tabs>
        <w:ind w:left="720" w:hanging="360"/>
      </w:pPr>
      <w:rPr>
        <w:rFonts w:ascii="Arial" w:eastAsia="Times New Roman" w:hAnsi="Aria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11947"/>
    <w:multiLevelType w:val="hybridMultilevel"/>
    <w:tmpl w:val="73DEA9C4"/>
    <w:lvl w:ilvl="0" w:tplc="BF3E1D54">
      <w:numFmt w:val="bullet"/>
      <w:lvlText w:val="-"/>
      <w:lvlJc w:val="left"/>
      <w:pPr>
        <w:ind w:left="1665" w:hanging="360"/>
      </w:pPr>
      <w:rPr>
        <w:rFonts w:ascii="Verdana" w:eastAsia="Times New Roman" w:hAnsi="Verdana" w:cs="Times New Roman" w:hint="default"/>
      </w:rPr>
    </w:lvl>
    <w:lvl w:ilvl="1" w:tplc="04090003">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9" w15:restartNumberingAfterBreak="0">
    <w:nsid w:val="791616C6"/>
    <w:multiLevelType w:val="hybridMultilevel"/>
    <w:tmpl w:val="56B6DAC2"/>
    <w:lvl w:ilvl="0" w:tplc="15BC4F6C">
      <w:start w:val="1"/>
      <w:numFmt w:val="bullet"/>
      <w:lvlText w:val=""/>
      <w:lvlJc w:val="left"/>
      <w:pPr>
        <w:ind w:left="5256" w:hanging="360"/>
      </w:pPr>
      <w:rPr>
        <w:rFonts w:ascii="Symbol" w:hAnsi="Symbol" w:hint="default"/>
        <w:color w:val="000000" w:themeColor="text1"/>
      </w:rPr>
    </w:lvl>
    <w:lvl w:ilvl="1" w:tplc="08090003" w:tentative="1">
      <w:start w:val="1"/>
      <w:numFmt w:val="bullet"/>
      <w:lvlText w:val="o"/>
      <w:lvlJc w:val="left"/>
      <w:pPr>
        <w:ind w:left="5976" w:hanging="360"/>
      </w:pPr>
      <w:rPr>
        <w:rFonts w:ascii="Courier New" w:hAnsi="Courier New" w:cs="Courier New" w:hint="default"/>
      </w:rPr>
    </w:lvl>
    <w:lvl w:ilvl="2" w:tplc="08090005" w:tentative="1">
      <w:start w:val="1"/>
      <w:numFmt w:val="bullet"/>
      <w:lvlText w:val=""/>
      <w:lvlJc w:val="left"/>
      <w:pPr>
        <w:ind w:left="6696" w:hanging="360"/>
      </w:pPr>
      <w:rPr>
        <w:rFonts w:ascii="Wingdings" w:hAnsi="Wingdings" w:hint="default"/>
      </w:rPr>
    </w:lvl>
    <w:lvl w:ilvl="3" w:tplc="08090001" w:tentative="1">
      <w:start w:val="1"/>
      <w:numFmt w:val="bullet"/>
      <w:lvlText w:val=""/>
      <w:lvlJc w:val="left"/>
      <w:pPr>
        <w:ind w:left="7416" w:hanging="360"/>
      </w:pPr>
      <w:rPr>
        <w:rFonts w:ascii="Symbol" w:hAnsi="Symbol" w:hint="default"/>
      </w:rPr>
    </w:lvl>
    <w:lvl w:ilvl="4" w:tplc="08090003" w:tentative="1">
      <w:start w:val="1"/>
      <w:numFmt w:val="bullet"/>
      <w:lvlText w:val="o"/>
      <w:lvlJc w:val="left"/>
      <w:pPr>
        <w:ind w:left="8136" w:hanging="360"/>
      </w:pPr>
      <w:rPr>
        <w:rFonts w:ascii="Courier New" w:hAnsi="Courier New" w:cs="Courier New" w:hint="default"/>
      </w:rPr>
    </w:lvl>
    <w:lvl w:ilvl="5" w:tplc="08090005" w:tentative="1">
      <w:start w:val="1"/>
      <w:numFmt w:val="bullet"/>
      <w:lvlText w:val=""/>
      <w:lvlJc w:val="left"/>
      <w:pPr>
        <w:ind w:left="8856" w:hanging="360"/>
      </w:pPr>
      <w:rPr>
        <w:rFonts w:ascii="Wingdings" w:hAnsi="Wingdings" w:hint="default"/>
      </w:rPr>
    </w:lvl>
    <w:lvl w:ilvl="6" w:tplc="08090001" w:tentative="1">
      <w:start w:val="1"/>
      <w:numFmt w:val="bullet"/>
      <w:lvlText w:val=""/>
      <w:lvlJc w:val="left"/>
      <w:pPr>
        <w:ind w:left="9576" w:hanging="360"/>
      </w:pPr>
      <w:rPr>
        <w:rFonts w:ascii="Symbol" w:hAnsi="Symbol" w:hint="default"/>
      </w:rPr>
    </w:lvl>
    <w:lvl w:ilvl="7" w:tplc="08090003" w:tentative="1">
      <w:start w:val="1"/>
      <w:numFmt w:val="bullet"/>
      <w:lvlText w:val="o"/>
      <w:lvlJc w:val="left"/>
      <w:pPr>
        <w:ind w:left="10296" w:hanging="360"/>
      </w:pPr>
      <w:rPr>
        <w:rFonts w:ascii="Courier New" w:hAnsi="Courier New" w:cs="Courier New" w:hint="default"/>
      </w:rPr>
    </w:lvl>
    <w:lvl w:ilvl="8" w:tplc="08090005" w:tentative="1">
      <w:start w:val="1"/>
      <w:numFmt w:val="bullet"/>
      <w:lvlText w:val=""/>
      <w:lvlJc w:val="left"/>
      <w:pPr>
        <w:ind w:left="11016" w:hanging="360"/>
      </w:pPr>
      <w:rPr>
        <w:rFonts w:ascii="Wingdings" w:hAnsi="Wingdings" w:hint="default"/>
      </w:rPr>
    </w:lvl>
  </w:abstractNum>
  <w:abstractNum w:abstractNumId="30" w15:restartNumberingAfterBreak="0">
    <w:nsid w:val="7B7F0AFF"/>
    <w:multiLevelType w:val="hybridMultilevel"/>
    <w:tmpl w:val="A73EA5AE"/>
    <w:lvl w:ilvl="0" w:tplc="08090001">
      <w:start w:val="1"/>
      <w:numFmt w:val="bullet"/>
      <w:lvlText w:val=""/>
      <w:lvlJc w:val="left"/>
      <w:pPr>
        <w:ind w:left="1842" w:hanging="360"/>
      </w:pPr>
      <w:rPr>
        <w:rFonts w:ascii="Symbol" w:hAnsi="Symbol" w:hint="default"/>
      </w:rPr>
    </w:lvl>
    <w:lvl w:ilvl="1" w:tplc="08090003" w:tentative="1">
      <w:start w:val="1"/>
      <w:numFmt w:val="bullet"/>
      <w:lvlText w:val="o"/>
      <w:lvlJc w:val="left"/>
      <w:pPr>
        <w:ind w:left="2562" w:hanging="360"/>
      </w:pPr>
      <w:rPr>
        <w:rFonts w:ascii="Courier New" w:hAnsi="Courier New" w:cs="Courier New" w:hint="default"/>
      </w:rPr>
    </w:lvl>
    <w:lvl w:ilvl="2" w:tplc="08090005" w:tentative="1">
      <w:start w:val="1"/>
      <w:numFmt w:val="bullet"/>
      <w:lvlText w:val=""/>
      <w:lvlJc w:val="left"/>
      <w:pPr>
        <w:ind w:left="3282" w:hanging="360"/>
      </w:pPr>
      <w:rPr>
        <w:rFonts w:ascii="Wingdings" w:hAnsi="Wingdings" w:hint="default"/>
      </w:rPr>
    </w:lvl>
    <w:lvl w:ilvl="3" w:tplc="08090001" w:tentative="1">
      <w:start w:val="1"/>
      <w:numFmt w:val="bullet"/>
      <w:lvlText w:val=""/>
      <w:lvlJc w:val="left"/>
      <w:pPr>
        <w:ind w:left="4002" w:hanging="360"/>
      </w:pPr>
      <w:rPr>
        <w:rFonts w:ascii="Symbol" w:hAnsi="Symbol" w:hint="default"/>
      </w:rPr>
    </w:lvl>
    <w:lvl w:ilvl="4" w:tplc="08090003" w:tentative="1">
      <w:start w:val="1"/>
      <w:numFmt w:val="bullet"/>
      <w:lvlText w:val="o"/>
      <w:lvlJc w:val="left"/>
      <w:pPr>
        <w:ind w:left="4722" w:hanging="360"/>
      </w:pPr>
      <w:rPr>
        <w:rFonts w:ascii="Courier New" w:hAnsi="Courier New" w:cs="Courier New" w:hint="default"/>
      </w:rPr>
    </w:lvl>
    <w:lvl w:ilvl="5" w:tplc="08090005" w:tentative="1">
      <w:start w:val="1"/>
      <w:numFmt w:val="bullet"/>
      <w:lvlText w:val=""/>
      <w:lvlJc w:val="left"/>
      <w:pPr>
        <w:ind w:left="5442" w:hanging="360"/>
      </w:pPr>
      <w:rPr>
        <w:rFonts w:ascii="Wingdings" w:hAnsi="Wingdings" w:hint="default"/>
      </w:rPr>
    </w:lvl>
    <w:lvl w:ilvl="6" w:tplc="08090001" w:tentative="1">
      <w:start w:val="1"/>
      <w:numFmt w:val="bullet"/>
      <w:lvlText w:val=""/>
      <w:lvlJc w:val="left"/>
      <w:pPr>
        <w:ind w:left="6162" w:hanging="360"/>
      </w:pPr>
      <w:rPr>
        <w:rFonts w:ascii="Symbol" w:hAnsi="Symbol" w:hint="default"/>
      </w:rPr>
    </w:lvl>
    <w:lvl w:ilvl="7" w:tplc="08090003" w:tentative="1">
      <w:start w:val="1"/>
      <w:numFmt w:val="bullet"/>
      <w:lvlText w:val="o"/>
      <w:lvlJc w:val="left"/>
      <w:pPr>
        <w:ind w:left="6882" w:hanging="360"/>
      </w:pPr>
      <w:rPr>
        <w:rFonts w:ascii="Courier New" w:hAnsi="Courier New" w:cs="Courier New" w:hint="default"/>
      </w:rPr>
    </w:lvl>
    <w:lvl w:ilvl="8" w:tplc="08090005" w:tentative="1">
      <w:start w:val="1"/>
      <w:numFmt w:val="bullet"/>
      <w:lvlText w:val=""/>
      <w:lvlJc w:val="left"/>
      <w:pPr>
        <w:ind w:left="7602" w:hanging="360"/>
      </w:pPr>
      <w:rPr>
        <w:rFonts w:ascii="Wingdings" w:hAnsi="Wingdings" w:hint="default"/>
      </w:rPr>
    </w:lvl>
  </w:abstractNum>
  <w:abstractNum w:abstractNumId="31" w15:restartNumberingAfterBreak="0">
    <w:nsid w:val="7BF412DD"/>
    <w:multiLevelType w:val="hybridMultilevel"/>
    <w:tmpl w:val="B48E562A"/>
    <w:lvl w:ilvl="0" w:tplc="3C62EC34">
      <w:numFmt w:val="bullet"/>
      <w:lvlText w:val="-"/>
      <w:lvlJc w:val="left"/>
      <w:pPr>
        <w:tabs>
          <w:tab w:val="num" w:pos="720"/>
        </w:tabs>
        <w:ind w:left="720" w:hanging="360"/>
      </w:pPr>
      <w:rPr>
        <w:rFonts w:ascii="Arial" w:eastAsia="Times New Roman" w:hAnsi="Arial" w:hint="default"/>
      </w:rPr>
    </w:lvl>
    <w:lvl w:ilvl="1" w:tplc="08090001">
      <w:start w:val="1"/>
      <w:numFmt w:val="bullet"/>
      <w:lvlText w:val=""/>
      <w:lvlJc w:val="left"/>
      <w:pPr>
        <w:tabs>
          <w:tab w:val="num" w:pos="1440"/>
        </w:tabs>
        <w:ind w:left="1440" w:hanging="360"/>
      </w:pPr>
      <w:rPr>
        <w:rFonts w:ascii="Symbol" w:hAnsi="Symbol" w:hint="default"/>
      </w:rPr>
    </w:lvl>
    <w:lvl w:ilvl="2" w:tplc="3C62EC34">
      <w:numFmt w:val="bullet"/>
      <w:lvlText w:val="-"/>
      <w:lvlJc w:val="left"/>
      <w:pPr>
        <w:tabs>
          <w:tab w:val="num" w:pos="2160"/>
        </w:tabs>
        <w:ind w:left="2160" w:hanging="360"/>
      </w:pPr>
      <w:rPr>
        <w:rFonts w:ascii="Arial" w:eastAsia="Times New Roman" w:hAnsi="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FA6B4D"/>
    <w:multiLevelType w:val="multilevel"/>
    <w:tmpl w:val="99E6AFE0"/>
    <w:lvl w:ilvl="0">
      <w:start w:val="1"/>
      <w:numFmt w:val="decimal"/>
      <w:pStyle w:val="Heading1"/>
      <w:suff w:val="space"/>
      <w:lvlText w:val="%1."/>
      <w:lvlJc w:val="left"/>
      <w:pPr>
        <w:ind w:left="0" w:firstLine="0"/>
      </w:pPr>
      <w:rPr>
        <w:rFonts w:ascii="Verdana" w:hAnsi="Verdana" w:cs="Times New Roman" w:hint="default"/>
        <w:b/>
        <w:i w:val="0"/>
        <w:color w:val="0046AD"/>
        <w:sz w:val="28"/>
      </w:rPr>
    </w:lvl>
    <w:lvl w:ilvl="1">
      <w:start w:val="1"/>
      <w:numFmt w:val="decimal"/>
      <w:lvlText w:val="%2.1"/>
      <w:lvlJc w:val="left"/>
      <w:pPr>
        <w:tabs>
          <w:tab w:val="num" w:pos="360"/>
        </w:tabs>
        <w:ind w:left="0" w:firstLine="0"/>
      </w:pPr>
      <w:rPr>
        <w:rFonts w:cs="Times New Roman" w:hint="default"/>
      </w:rPr>
    </w:lvl>
    <w:lvl w:ilvl="2">
      <w:numFmt w:val="none"/>
      <w:pStyle w:val="Heading3"/>
      <w:lvlText w:val=""/>
      <w:lvlJc w:val="left"/>
      <w:pPr>
        <w:tabs>
          <w:tab w:val="num" w:pos="360"/>
        </w:tabs>
        <w:ind w:left="0" w:firstLine="0"/>
      </w:pPr>
      <w:rPr>
        <w:rFonts w:cs="Times New Roman" w:hint="default"/>
      </w:rPr>
    </w:lvl>
    <w:lvl w:ilvl="3">
      <w:numFmt w:val="decimal"/>
      <w:pStyle w:val="Heading4"/>
      <w:lvlText w:val=""/>
      <w:lvlJc w:val="left"/>
      <w:pPr>
        <w:ind w:left="0" w:firstLine="0"/>
      </w:pPr>
      <w:rPr>
        <w:rFonts w:cs="Times New Roman" w:hint="default"/>
      </w:rPr>
    </w:lvl>
    <w:lvl w:ilvl="4">
      <w:numFmt w:val="decimal"/>
      <w:pStyle w:val="Heading5"/>
      <w:lvlText w:val=""/>
      <w:lvlJc w:val="left"/>
      <w:pPr>
        <w:ind w:left="0" w:firstLine="0"/>
      </w:pPr>
      <w:rPr>
        <w:rFonts w:cs="Times New Roman" w:hint="default"/>
      </w:rPr>
    </w:lvl>
    <w:lvl w:ilvl="5">
      <w:numFmt w:val="decimal"/>
      <w:pStyle w:val="Heading6"/>
      <w:lvlText w:val=""/>
      <w:lvlJc w:val="left"/>
      <w:pPr>
        <w:ind w:left="0" w:firstLine="0"/>
      </w:pPr>
      <w:rPr>
        <w:rFonts w:cs="Times New Roman" w:hint="default"/>
      </w:rPr>
    </w:lvl>
    <w:lvl w:ilvl="6">
      <w:numFmt w:val="decimal"/>
      <w:pStyle w:val="Heading7"/>
      <w:lvlText w:val=""/>
      <w:lvlJc w:val="left"/>
      <w:pPr>
        <w:ind w:left="0" w:firstLine="0"/>
      </w:pPr>
      <w:rPr>
        <w:rFonts w:cs="Times New Roman" w:hint="default"/>
      </w:rPr>
    </w:lvl>
    <w:lvl w:ilvl="7">
      <w:numFmt w:val="decimal"/>
      <w:pStyle w:val="Heading8"/>
      <w:lvlText w:val=""/>
      <w:lvlJc w:val="left"/>
      <w:pPr>
        <w:ind w:left="0" w:firstLine="0"/>
      </w:pPr>
      <w:rPr>
        <w:rFonts w:cs="Times New Roman" w:hint="default"/>
      </w:rPr>
    </w:lvl>
    <w:lvl w:ilvl="8">
      <w:numFmt w:val="decimal"/>
      <w:pStyle w:val="Heading9"/>
      <w:lvlText w:val=""/>
      <w:lvlJc w:val="left"/>
      <w:pPr>
        <w:ind w:left="0" w:firstLine="0"/>
      </w:pPr>
      <w:rPr>
        <w:rFonts w:cs="Times New Roman" w:hint="default"/>
      </w:rPr>
    </w:lvl>
  </w:abstractNum>
  <w:abstractNum w:abstractNumId="33" w15:restartNumberingAfterBreak="0">
    <w:nsid w:val="7C871AFA"/>
    <w:multiLevelType w:val="multilevel"/>
    <w:tmpl w:val="250224A4"/>
    <w:lvl w:ilvl="0">
      <w:numFmt w:val="decimal"/>
      <w:pStyle w:val="BulletedList1-usermanu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2"/>
  </w:num>
  <w:num w:numId="2">
    <w:abstractNumId w:val="9"/>
  </w:num>
  <w:num w:numId="3">
    <w:abstractNumId w:val="17"/>
  </w:num>
  <w:num w:numId="4">
    <w:abstractNumId w:val="33"/>
  </w:num>
  <w:num w:numId="5">
    <w:abstractNumId w:val="20"/>
  </w:num>
  <w:num w:numId="6">
    <w:abstractNumId w:val="14"/>
  </w:num>
  <w:num w:numId="7">
    <w:abstractNumId w:val="25"/>
  </w:num>
  <w:num w:numId="8">
    <w:abstractNumId w:val="19"/>
  </w:num>
  <w:num w:numId="9">
    <w:abstractNumId w:val="6"/>
  </w:num>
  <w:num w:numId="10">
    <w:abstractNumId w:val="7"/>
  </w:num>
  <w:num w:numId="11">
    <w:abstractNumId w:val="15"/>
  </w:num>
  <w:num w:numId="12">
    <w:abstractNumId w:val="12"/>
  </w:num>
  <w:num w:numId="13">
    <w:abstractNumId w:val="10"/>
  </w:num>
  <w:num w:numId="14">
    <w:abstractNumId w:val="31"/>
  </w:num>
  <w:num w:numId="15">
    <w:abstractNumId w:val="4"/>
  </w:num>
  <w:num w:numId="16">
    <w:abstractNumId w:val="11"/>
  </w:num>
  <w:num w:numId="17">
    <w:abstractNumId w:val="22"/>
  </w:num>
  <w:num w:numId="18">
    <w:abstractNumId w:val="13"/>
  </w:num>
  <w:num w:numId="19">
    <w:abstractNumId w:val="32"/>
    <w:lvlOverride w:ilvl="0">
      <w:startOverride w:val="7"/>
    </w:lvlOverride>
    <w:lvlOverride w:ilvl="1">
      <w:startOverride w:val="7"/>
    </w:lvlOverride>
    <w:lvlOverride w:ilvl="2"/>
    <w:lvlOverride w:ilvl="3"/>
    <w:lvlOverride w:ilvl="4"/>
    <w:lvlOverride w:ilvl="5"/>
    <w:lvlOverride w:ilvl="6"/>
    <w:lvlOverride w:ilvl="7"/>
    <w:lvlOverride w:ilvl="8"/>
  </w:num>
  <w:num w:numId="20">
    <w:abstractNumId w:val="27"/>
  </w:num>
  <w:num w:numId="21">
    <w:abstractNumId w:val="16"/>
  </w:num>
  <w:num w:numId="22">
    <w:abstractNumId w:val="3"/>
  </w:num>
  <w:num w:numId="23">
    <w:abstractNumId w:val="32"/>
    <w:lvlOverride w:ilvl="0">
      <w:startOverride w:val="10"/>
    </w:lvlOverride>
    <w:lvlOverride w:ilvl="1">
      <w:startOverride w:val="1"/>
    </w:lvlOverride>
    <w:lvlOverride w:ilvl="2"/>
    <w:lvlOverride w:ilvl="3"/>
    <w:lvlOverride w:ilvl="4"/>
    <w:lvlOverride w:ilvl="5"/>
    <w:lvlOverride w:ilvl="6"/>
    <w:lvlOverride w:ilvl="7"/>
    <w:lvlOverride w:ilvl="8"/>
  </w:num>
  <w:num w:numId="24">
    <w:abstractNumId w:val="30"/>
  </w:num>
  <w:num w:numId="25">
    <w:abstractNumId w:val="24"/>
  </w:num>
  <w:num w:numId="26">
    <w:abstractNumId w:val="8"/>
  </w:num>
  <w:num w:numId="27">
    <w:abstractNumId w:val="2"/>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0"/>
  </w:num>
  <w:num w:numId="49">
    <w:abstractNumId w:val="29"/>
  </w:num>
  <w:num w:numId="50">
    <w:abstractNumId w:val="32"/>
  </w:num>
  <w:num w:numId="51">
    <w:abstractNumId w:val="32"/>
  </w:num>
  <w:num w:numId="52">
    <w:abstractNumId w:val="1"/>
  </w:num>
  <w:num w:numId="53">
    <w:abstractNumId w:val="23"/>
  </w:num>
  <w:num w:numId="54">
    <w:abstractNumId w:val="28"/>
  </w:num>
  <w:num w:numId="55">
    <w:abstractNumId w:val="21"/>
  </w:num>
  <w:num w:numId="56">
    <w:abstractNumId w:val="18"/>
  </w:num>
  <w:num w:numId="57">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32"/>
    <w:rsid w:val="000011FB"/>
    <w:rsid w:val="0000234D"/>
    <w:rsid w:val="00004D57"/>
    <w:rsid w:val="0000586E"/>
    <w:rsid w:val="0000628B"/>
    <w:rsid w:val="000063A2"/>
    <w:rsid w:val="00007F2B"/>
    <w:rsid w:val="00010C9D"/>
    <w:rsid w:val="000118D2"/>
    <w:rsid w:val="00011FED"/>
    <w:rsid w:val="00013440"/>
    <w:rsid w:val="000134CC"/>
    <w:rsid w:val="00014B0D"/>
    <w:rsid w:val="00016957"/>
    <w:rsid w:val="000173ED"/>
    <w:rsid w:val="00020A21"/>
    <w:rsid w:val="0002326A"/>
    <w:rsid w:val="0002406A"/>
    <w:rsid w:val="0002427A"/>
    <w:rsid w:val="00024E93"/>
    <w:rsid w:val="000256BE"/>
    <w:rsid w:val="00025C99"/>
    <w:rsid w:val="00026CFF"/>
    <w:rsid w:val="0002715F"/>
    <w:rsid w:val="00031A84"/>
    <w:rsid w:val="000322E6"/>
    <w:rsid w:val="0003279A"/>
    <w:rsid w:val="0003344B"/>
    <w:rsid w:val="000360C9"/>
    <w:rsid w:val="000366C4"/>
    <w:rsid w:val="000374E6"/>
    <w:rsid w:val="00037EE9"/>
    <w:rsid w:val="0004212E"/>
    <w:rsid w:val="000423CE"/>
    <w:rsid w:val="0004256D"/>
    <w:rsid w:val="00042836"/>
    <w:rsid w:val="00043E96"/>
    <w:rsid w:val="00044012"/>
    <w:rsid w:val="00044A20"/>
    <w:rsid w:val="0004513D"/>
    <w:rsid w:val="00045D28"/>
    <w:rsid w:val="00050549"/>
    <w:rsid w:val="000516C0"/>
    <w:rsid w:val="000518E7"/>
    <w:rsid w:val="00051E87"/>
    <w:rsid w:val="000533B1"/>
    <w:rsid w:val="000550DB"/>
    <w:rsid w:val="00055983"/>
    <w:rsid w:val="00056B04"/>
    <w:rsid w:val="000575CF"/>
    <w:rsid w:val="000601BB"/>
    <w:rsid w:val="000610AB"/>
    <w:rsid w:val="00061796"/>
    <w:rsid w:val="00062A33"/>
    <w:rsid w:val="000634C2"/>
    <w:rsid w:val="00063DCA"/>
    <w:rsid w:val="00064C58"/>
    <w:rsid w:val="000652C9"/>
    <w:rsid w:val="00065EBE"/>
    <w:rsid w:val="00071167"/>
    <w:rsid w:val="00071FAB"/>
    <w:rsid w:val="000721AD"/>
    <w:rsid w:val="0007332F"/>
    <w:rsid w:val="00075E83"/>
    <w:rsid w:val="000763F7"/>
    <w:rsid w:val="00076478"/>
    <w:rsid w:val="00076778"/>
    <w:rsid w:val="00076B0A"/>
    <w:rsid w:val="00077780"/>
    <w:rsid w:val="000803D3"/>
    <w:rsid w:val="000805E3"/>
    <w:rsid w:val="00080EB6"/>
    <w:rsid w:val="000811F3"/>
    <w:rsid w:val="00083207"/>
    <w:rsid w:val="00083730"/>
    <w:rsid w:val="000840E2"/>
    <w:rsid w:val="000843FE"/>
    <w:rsid w:val="00086315"/>
    <w:rsid w:val="000868E9"/>
    <w:rsid w:val="000871B1"/>
    <w:rsid w:val="00087662"/>
    <w:rsid w:val="00093F94"/>
    <w:rsid w:val="00093FE6"/>
    <w:rsid w:val="0009465B"/>
    <w:rsid w:val="00094D1A"/>
    <w:rsid w:val="00095E55"/>
    <w:rsid w:val="00096110"/>
    <w:rsid w:val="000961D8"/>
    <w:rsid w:val="00096A17"/>
    <w:rsid w:val="00096A9A"/>
    <w:rsid w:val="000970A2"/>
    <w:rsid w:val="000A05CE"/>
    <w:rsid w:val="000A07B3"/>
    <w:rsid w:val="000A124E"/>
    <w:rsid w:val="000A192F"/>
    <w:rsid w:val="000A1F9D"/>
    <w:rsid w:val="000A24C2"/>
    <w:rsid w:val="000A3009"/>
    <w:rsid w:val="000A392D"/>
    <w:rsid w:val="000A3DEB"/>
    <w:rsid w:val="000A4F50"/>
    <w:rsid w:val="000A601C"/>
    <w:rsid w:val="000A6EC2"/>
    <w:rsid w:val="000A775C"/>
    <w:rsid w:val="000A78FC"/>
    <w:rsid w:val="000B1F71"/>
    <w:rsid w:val="000B227A"/>
    <w:rsid w:val="000B2E04"/>
    <w:rsid w:val="000B342A"/>
    <w:rsid w:val="000B3A1D"/>
    <w:rsid w:val="000B472C"/>
    <w:rsid w:val="000B5BD9"/>
    <w:rsid w:val="000B6BC6"/>
    <w:rsid w:val="000B75D0"/>
    <w:rsid w:val="000B75DA"/>
    <w:rsid w:val="000B7BBE"/>
    <w:rsid w:val="000B7D2E"/>
    <w:rsid w:val="000C1E7C"/>
    <w:rsid w:val="000C2494"/>
    <w:rsid w:val="000C307B"/>
    <w:rsid w:val="000C389E"/>
    <w:rsid w:val="000C38A3"/>
    <w:rsid w:val="000C3CB8"/>
    <w:rsid w:val="000C6530"/>
    <w:rsid w:val="000C7A11"/>
    <w:rsid w:val="000C7D2E"/>
    <w:rsid w:val="000D0078"/>
    <w:rsid w:val="000D00DB"/>
    <w:rsid w:val="000D018B"/>
    <w:rsid w:val="000D0377"/>
    <w:rsid w:val="000D10EF"/>
    <w:rsid w:val="000D26BA"/>
    <w:rsid w:val="000D5B1E"/>
    <w:rsid w:val="000D671E"/>
    <w:rsid w:val="000D6F72"/>
    <w:rsid w:val="000E2207"/>
    <w:rsid w:val="000E3105"/>
    <w:rsid w:val="000E35AD"/>
    <w:rsid w:val="000E35B3"/>
    <w:rsid w:val="000E5312"/>
    <w:rsid w:val="000E720E"/>
    <w:rsid w:val="000E7C3D"/>
    <w:rsid w:val="000F20D8"/>
    <w:rsid w:val="000F28D2"/>
    <w:rsid w:val="000F2DF2"/>
    <w:rsid w:val="000F3DA5"/>
    <w:rsid w:val="000F41A0"/>
    <w:rsid w:val="000F4D68"/>
    <w:rsid w:val="000F5601"/>
    <w:rsid w:val="000F619F"/>
    <w:rsid w:val="000F7347"/>
    <w:rsid w:val="000F7C56"/>
    <w:rsid w:val="0010032F"/>
    <w:rsid w:val="00100AB6"/>
    <w:rsid w:val="00101887"/>
    <w:rsid w:val="001030AC"/>
    <w:rsid w:val="0010600C"/>
    <w:rsid w:val="00107AB6"/>
    <w:rsid w:val="001100D9"/>
    <w:rsid w:val="00112108"/>
    <w:rsid w:val="00112253"/>
    <w:rsid w:val="00113FCA"/>
    <w:rsid w:val="00114399"/>
    <w:rsid w:val="00114628"/>
    <w:rsid w:val="00115C1E"/>
    <w:rsid w:val="0011783E"/>
    <w:rsid w:val="00117A0A"/>
    <w:rsid w:val="001206E6"/>
    <w:rsid w:val="00121112"/>
    <w:rsid w:val="001215C2"/>
    <w:rsid w:val="001219A8"/>
    <w:rsid w:val="00121CD9"/>
    <w:rsid w:val="001223AF"/>
    <w:rsid w:val="001225E9"/>
    <w:rsid w:val="00123653"/>
    <w:rsid w:val="00124BA8"/>
    <w:rsid w:val="001268DB"/>
    <w:rsid w:val="00127B6A"/>
    <w:rsid w:val="00127DF0"/>
    <w:rsid w:val="001303DB"/>
    <w:rsid w:val="00131BBE"/>
    <w:rsid w:val="001340DF"/>
    <w:rsid w:val="001349BB"/>
    <w:rsid w:val="00136859"/>
    <w:rsid w:val="00140B01"/>
    <w:rsid w:val="0014117E"/>
    <w:rsid w:val="001411DD"/>
    <w:rsid w:val="001419E0"/>
    <w:rsid w:val="00141B05"/>
    <w:rsid w:val="00144165"/>
    <w:rsid w:val="0014609D"/>
    <w:rsid w:val="00147611"/>
    <w:rsid w:val="00151FC4"/>
    <w:rsid w:val="001531A0"/>
    <w:rsid w:val="001541EF"/>
    <w:rsid w:val="00156D5E"/>
    <w:rsid w:val="00157ADA"/>
    <w:rsid w:val="00157B3D"/>
    <w:rsid w:val="00160086"/>
    <w:rsid w:val="0016056A"/>
    <w:rsid w:val="0016072C"/>
    <w:rsid w:val="00160C38"/>
    <w:rsid w:val="00160E01"/>
    <w:rsid w:val="00161248"/>
    <w:rsid w:val="00161DF2"/>
    <w:rsid w:val="00162E15"/>
    <w:rsid w:val="00163684"/>
    <w:rsid w:val="00164731"/>
    <w:rsid w:val="00164CB5"/>
    <w:rsid w:val="001657FF"/>
    <w:rsid w:val="00165A4D"/>
    <w:rsid w:val="00167A6D"/>
    <w:rsid w:val="00167BE0"/>
    <w:rsid w:val="00167CC0"/>
    <w:rsid w:val="001723D9"/>
    <w:rsid w:val="00172ABA"/>
    <w:rsid w:val="00173012"/>
    <w:rsid w:val="00173976"/>
    <w:rsid w:val="00173D06"/>
    <w:rsid w:val="00176845"/>
    <w:rsid w:val="00182E5E"/>
    <w:rsid w:val="0018312D"/>
    <w:rsid w:val="00187999"/>
    <w:rsid w:val="001908AC"/>
    <w:rsid w:val="00190C8A"/>
    <w:rsid w:val="00190CC3"/>
    <w:rsid w:val="00191E47"/>
    <w:rsid w:val="00193388"/>
    <w:rsid w:val="001935E8"/>
    <w:rsid w:val="001955DC"/>
    <w:rsid w:val="00195A6B"/>
    <w:rsid w:val="00197D96"/>
    <w:rsid w:val="001A0951"/>
    <w:rsid w:val="001A0B5A"/>
    <w:rsid w:val="001A17F9"/>
    <w:rsid w:val="001A3B94"/>
    <w:rsid w:val="001A4430"/>
    <w:rsid w:val="001A5EDB"/>
    <w:rsid w:val="001A60CE"/>
    <w:rsid w:val="001A66C1"/>
    <w:rsid w:val="001A7031"/>
    <w:rsid w:val="001B06FB"/>
    <w:rsid w:val="001B0ECF"/>
    <w:rsid w:val="001B222B"/>
    <w:rsid w:val="001B3789"/>
    <w:rsid w:val="001B3D7E"/>
    <w:rsid w:val="001B420F"/>
    <w:rsid w:val="001B439F"/>
    <w:rsid w:val="001B557C"/>
    <w:rsid w:val="001B68D4"/>
    <w:rsid w:val="001B6DB1"/>
    <w:rsid w:val="001C2B0A"/>
    <w:rsid w:val="001C30D9"/>
    <w:rsid w:val="001C3731"/>
    <w:rsid w:val="001C3DCB"/>
    <w:rsid w:val="001C7341"/>
    <w:rsid w:val="001C7618"/>
    <w:rsid w:val="001D2D78"/>
    <w:rsid w:val="001D32F5"/>
    <w:rsid w:val="001D3478"/>
    <w:rsid w:val="001D39B1"/>
    <w:rsid w:val="001D3C6F"/>
    <w:rsid w:val="001D3D5A"/>
    <w:rsid w:val="001D556F"/>
    <w:rsid w:val="001D5C42"/>
    <w:rsid w:val="001D604D"/>
    <w:rsid w:val="001D61B0"/>
    <w:rsid w:val="001D6360"/>
    <w:rsid w:val="001D736D"/>
    <w:rsid w:val="001D7BB0"/>
    <w:rsid w:val="001E1808"/>
    <w:rsid w:val="001E1AAE"/>
    <w:rsid w:val="001E23CF"/>
    <w:rsid w:val="001E2D7F"/>
    <w:rsid w:val="001E411F"/>
    <w:rsid w:val="001E4374"/>
    <w:rsid w:val="001E584C"/>
    <w:rsid w:val="001E58D6"/>
    <w:rsid w:val="001E639A"/>
    <w:rsid w:val="001E7133"/>
    <w:rsid w:val="001F0302"/>
    <w:rsid w:val="001F07E5"/>
    <w:rsid w:val="001F1363"/>
    <w:rsid w:val="001F13EB"/>
    <w:rsid w:val="001F1F11"/>
    <w:rsid w:val="001F2944"/>
    <w:rsid w:val="001F2FA5"/>
    <w:rsid w:val="001F3601"/>
    <w:rsid w:val="001F43ED"/>
    <w:rsid w:val="001F53EB"/>
    <w:rsid w:val="001F5523"/>
    <w:rsid w:val="001F5783"/>
    <w:rsid w:val="001F76BF"/>
    <w:rsid w:val="0020036F"/>
    <w:rsid w:val="00200975"/>
    <w:rsid w:val="00200EA7"/>
    <w:rsid w:val="002040AA"/>
    <w:rsid w:val="00204425"/>
    <w:rsid w:val="00205E7E"/>
    <w:rsid w:val="00212038"/>
    <w:rsid w:val="00212524"/>
    <w:rsid w:val="00212A4E"/>
    <w:rsid w:val="00212DCD"/>
    <w:rsid w:val="00215048"/>
    <w:rsid w:val="0021592A"/>
    <w:rsid w:val="00215ECB"/>
    <w:rsid w:val="002164EE"/>
    <w:rsid w:val="00216D78"/>
    <w:rsid w:val="002213CA"/>
    <w:rsid w:val="00221685"/>
    <w:rsid w:val="00221F22"/>
    <w:rsid w:val="0022402E"/>
    <w:rsid w:val="002243E0"/>
    <w:rsid w:val="00224B99"/>
    <w:rsid w:val="00226281"/>
    <w:rsid w:val="002270D2"/>
    <w:rsid w:val="00227E24"/>
    <w:rsid w:val="00230703"/>
    <w:rsid w:val="002324D6"/>
    <w:rsid w:val="00232BB4"/>
    <w:rsid w:val="00232D4A"/>
    <w:rsid w:val="00232DA6"/>
    <w:rsid w:val="002336BC"/>
    <w:rsid w:val="00235D87"/>
    <w:rsid w:val="00235F14"/>
    <w:rsid w:val="00236B4B"/>
    <w:rsid w:val="002375B7"/>
    <w:rsid w:val="0023797E"/>
    <w:rsid w:val="002429A4"/>
    <w:rsid w:val="00246403"/>
    <w:rsid w:val="0024747B"/>
    <w:rsid w:val="002504D8"/>
    <w:rsid w:val="00251960"/>
    <w:rsid w:val="00252C3E"/>
    <w:rsid w:val="00254271"/>
    <w:rsid w:val="00254640"/>
    <w:rsid w:val="0025511B"/>
    <w:rsid w:val="002551BD"/>
    <w:rsid w:val="00255B24"/>
    <w:rsid w:val="002567E3"/>
    <w:rsid w:val="00256AC2"/>
    <w:rsid w:val="0025714C"/>
    <w:rsid w:val="002622F2"/>
    <w:rsid w:val="00262430"/>
    <w:rsid w:val="00262493"/>
    <w:rsid w:val="00262AF9"/>
    <w:rsid w:val="00262E79"/>
    <w:rsid w:val="00263C82"/>
    <w:rsid w:val="00264345"/>
    <w:rsid w:val="002645A1"/>
    <w:rsid w:val="0026744B"/>
    <w:rsid w:val="0027006F"/>
    <w:rsid w:val="00270DA9"/>
    <w:rsid w:val="002727CA"/>
    <w:rsid w:val="00272A9A"/>
    <w:rsid w:val="00273349"/>
    <w:rsid w:val="0027585A"/>
    <w:rsid w:val="00276C9E"/>
    <w:rsid w:val="00276E9C"/>
    <w:rsid w:val="002770C2"/>
    <w:rsid w:val="002774C8"/>
    <w:rsid w:val="00277BCF"/>
    <w:rsid w:val="00277F71"/>
    <w:rsid w:val="00280AA9"/>
    <w:rsid w:val="0028291E"/>
    <w:rsid w:val="002833BB"/>
    <w:rsid w:val="00283C31"/>
    <w:rsid w:val="0028471E"/>
    <w:rsid w:val="00284D5F"/>
    <w:rsid w:val="00285338"/>
    <w:rsid w:val="0028559C"/>
    <w:rsid w:val="00285968"/>
    <w:rsid w:val="002863B3"/>
    <w:rsid w:val="00290E50"/>
    <w:rsid w:val="00291107"/>
    <w:rsid w:val="002913C6"/>
    <w:rsid w:val="00292B28"/>
    <w:rsid w:val="00293438"/>
    <w:rsid w:val="00294045"/>
    <w:rsid w:val="00294D99"/>
    <w:rsid w:val="00295E9B"/>
    <w:rsid w:val="002975AC"/>
    <w:rsid w:val="002A08D7"/>
    <w:rsid w:val="002A2076"/>
    <w:rsid w:val="002A29C5"/>
    <w:rsid w:val="002A3AEE"/>
    <w:rsid w:val="002A5A73"/>
    <w:rsid w:val="002A61B5"/>
    <w:rsid w:val="002A658A"/>
    <w:rsid w:val="002A65AA"/>
    <w:rsid w:val="002A77D1"/>
    <w:rsid w:val="002B0800"/>
    <w:rsid w:val="002B13C7"/>
    <w:rsid w:val="002B15FD"/>
    <w:rsid w:val="002B3BDB"/>
    <w:rsid w:val="002B58B6"/>
    <w:rsid w:val="002B6230"/>
    <w:rsid w:val="002B7411"/>
    <w:rsid w:val="002C0BBF"/>
    <w:rsid w:val="002C11AA"/>
    <w:rsid w:val="002C12A7"/>
    <w:rsid w:val="002C475F"/>
    <w:rsid w:val="002C5D9B"/>
    <w:rsid w:val="002C6A7C"/>
    <w:rsid w:val="002C6C32"/>
    <w:rsid w:val="002C700E"/>
    <w:rsid w:val="002C7C8F"/>
    <w:rsid w:val="002D0223"/>
    <w:rsid w:val="002D213F"/>
    <w:rsid w:val="002D23F2"/>
    <w:rsid w:val="002D3951"/>
    <w:rsid w:val="002D4A61"/>
    <w:rsid w:val="002D5819"/>
    <w:rsid w:val="002D669D"/>
    <w:rsid w:val="002E07D0"/>
    <w:rsid w:val="002E2095"/>
    <w:rsid w:val="002E21CD"/>
    <w:rsid w:val="002E3309"/>
    <w:rsid w:val="002E36FF"/>
    <w:rsid w:val="002E3BB8"/>
    <w:rsid w:val="002E43DD"/>
    <w:rsid w:val="002E565B"/>
    <w:rsid w:val="002E6725"/>
    <w:rsid w:val="002E759D"/>
    <w:rsid w:val="002E765F"/>
    <w:rsid w:val="002E785A"/>
    <w:rsid w:val="002F0331"/>
    <w:rsid w:val="002F18A1"/>
    <w:rsid w:val="002F255D"/>
    <w:rsid w:val="002F25D9"/>
    <w:rsid w:val="002F2B47"/>
    <w:rsid w:val="002F2C81"/>
    <w:rsid w:val="002F309C"/>
    <w:rsid w:val="002F50D5"/>
    <w:rsid w:val="002F523C"/>
    <w:rsid w:val="002F55BA"/>
    <w:rsid w:val="002F560E"/>
    <w:rsid w:val="002F572F"/>
    <w:rsid w:val="003000E7"/>
    <w:rsid w:val="00300300"/>
    <w:rsid w:val="003005FF"/>
    <w:rsid w:val="003006F9"/>
    <w:rsid w:val="00302930"/>
    <w:rsid w:val="003044C5"/>
    <w:rsid w:val="003050A1"/>
    <w:rsid w:val="00305467"/>
    <w:rsid w:val="00305644"/>
    <w:rsid w:val="003058AA"/>
    <w:rsid w:val="003059D0"/>
    <w:rsid w:val="00306E7A"/>
    <w:rsid w:val="00306F9C"/>
    <w:rsid w:val="00307DCB"/>
    <w:rsid w:val="003107D0"/>
    <w:rsid w:val="00312118"/>
    <w:rsid w:val="003122B0"/>
    <w:rsid w:val="00312D0D"/>
    <w:rsid w:val="00313376"/>
    <w:rsid w:val="00313560"/>
    <w:rsid w:val="00313B05"/>
    <w:rsid w:val="003146DF"/>
    <w:rsid w:val="0031577D"/>
    <w:rsid w:val="00315FEA"/>
    <w:rsid w:val="003160F9"/>
    <w:rsid w:val="00317BA7"/>
    <w:rsid w:val="00317E34"/>
    <w:rsid w:val="0032009B"/>
    <w:rsid w:val="00320847"/>
    <w:rsid w:val="00320D25"/>
    <w:rsid w:val="0032120F"/>
    <w:rsid w:val="003215DB"/>
    <w:rsid w:val="003218EC"/>
    <w:rsid w:val="0032353B"/>
    <w:rsid w:val="00323B3D"/>
    <w:rsid w:val="00324AFC"/>
    <w:rsid w:val="00324C4F"/>
    <w:rsid w:val="00325320"/>
    <w:rsid w:val="00325F67"/>
    <w:rsid w:val="00326BC8"/>
    <w:rsid w:val="00330875"/>
    <w:rsid w:val="00331511"/>
    <w:rsid w:val="00331A28"/>
    <w:rsid w:val="0033254C"/>
    <w:rsid w:val="0033693E"/>
    <w:rsid w:val="00336A1B"/>
    <w:rsid w:val="00336C84"/>
    <w:rsid w:val="00337164"/>
    <w:rsid w:val="003379F8"/>
    <w:rsid w:val="00342168"/>
    <w:rsid w:val="003423BD"/>
    <w:rsid w:val="00342651"/>
    <w:rsid w:val="00342B0F"/>
    <w:rsid w:val="00343408"/>
    <w:rsid w:val="003434A6"/>
    <w:rsid w:val="00345B98"/>
    <w:rsid w:val="0034612B"/>
    <w:rsid w:val="00347163"/>
    <w:rsid w:val="00352992"/>
    <w:rsid w:val="003537C9"/>
    <w:rsid w:val="003549FC"/>
    <w:rsid w:val="00355484"/>
    <w:rsid w:val="00356576"/>
    <w:rsid w:val="003565A2"/>
    <w:rsid w:val="00356A58"/>
    <w:rsid w:val="003579E3"/>
    <w:rsid w:val="0036263D"/>
    <w:rsid w:val="00362EF1"/>
    <w:rsid w:val="00363105"/>
    <w:rsid w:val="003642CA"/>
    <w:rsid w:val="00364C57"/>
    <w:rsid w:val="00364D32"/>
    <w:rsid w:val="00365013"/>
    <w:rsid w:val="00365C7B"/>
    <w:rsid w:val="00366EE8"/>
    <w:rsid w:val="00372B89"/>
    <w:rsid w:val="00372C98"/>
    <w:rsid w:val="00372CB0"/>
    <w:rsid w:val="00373846"/>
    <w:rsid w:val="003740C1"/>
    <w:rsid w:val="00374A01"/>
    <w:rsid w:val="0037500D"/>
    <w:rsid w:val="0037543F"/>
    <w:rsid w:val="00375CC7"/>
    <w:rsid w:val="00376560"/>
    <w:rsid w:val="00376651"/>
    <w:rsid w:val="003807E8"/>
    <w:rsid w:val="00380975"/>
    <w:rsid w:val="00380E39"/>
    <w:rsid w:val="003817A3"/>
    <w:rsid w:val="003819B8"/>
    <w:rsid w:val="0038266E"/>
    <w:rsid w:val="0038440E"/>
    <w:rsid w:val="00384EB0"/>
    <w:rsid w:val="003859F5"/>
    <w:rsid w:val="00385D96"/>
    <w:rsid w:val="00386097"/>
    <w:rsid w:val="003901FF"/>
    <w:rsid w:val="00390224"/>
    <w:rsid w:val="003909BD"/>
    <w:rsid w:val="00390A44"/>
    <w:rsid w:val="00390ED5"/>
    <w:rsid w:val="00391DE4"/>
    <w:rsid w:val="003925E9"/>
    <w:rsid w:val="00394D29"/>
    <w:rsid w:val="00395238"/>
    <w:rsid w:val="00395851"/>
    <w:rsid w:val="00395CC2"/>
    <w:rsid w:val="00395D7D"/>
    <w:rsid w:val="003A00D9"/>
    <w:rsid w:val="003A22A4"/>
    <w:rsid w:val="003A2F50"/>
    <w:rsid w:val="003A3554"/>
    <w:rsid w:val="003A5B5D"/>
    <w:rsid w:val="003A5CB4"/>
    <w:rsid w:val="003A66F2"/>
    <w:rsid w:val="003A7FB0"/>
    <w:rsid w:val="003B1A03"/>
    <w:rsid w:val="003B1B52"/>
    <w:rsid w:val="003B20A9"/>
    <w:rsid w:val="003B276D"/>
    <w:rsid w:val="003B2B8A"/>
    <w:rsid w:val="003B305E"/>
    <w:rsid w:val="003B35CA"/>
    <w:rsid w:val="003B3C62"/>
    <w:rsid w:val="003B4361"/>
    <w:rsid w:val="003B4497"/>
    <w:rsid w:val="003B5A41"/>
    <w:rsid w:val="003B6C91"/>
    <w:rsid w:val="003B6FD6"/>
    <w:rsid w:val="003B7422"/>
    <w:rsid w:val="003B7B69"/>
    <w:rsid w:val="003C0010"/>
    <w:rsid w:val="003C1CA9"/>
    <w:rsid w:val="003C25B7"/>
    <w:rsid w:val="003C2C56"/>
    <w:rsid w:val="003C361E"/>
    <w:rsid w:val="003C419D"/>
    <w:rsid w:val="003C5298"/>
    <w:rsid w:val="003C52AB"/>
    <w:rsid w:val="003C5310"/>
    <w:rsid w:val="003C5F9A"/>
    <w:rsid w:val="003C70C9"/>
    <w:rsid w:val="003D0A5F"/>
    <w:rsid w:val="003D2CEA"/>
    <w:rsid w:val="003D2DA3"/>
    <w:rsid w:val="003D36EB"/>
    <w:rsid w:val="003D5370"/>
    <w:rsid w:val="003D5772"/>
    <w:rsid w:val="003D6053"/>
    <w:rsid w:val="003D7802"/>
    <w:rsid w:val="003D7950"/>
    <w:rsid w:val="003E00E5"/>
    <w:rsid w:val="003E0D23"/>
    <w:rsid w:val="003E0DF6"/>
    <w:rsid w:val="003E1799"/>
    <w:rsid w:val="003E38C1"/>
    <w:rsid w:val="003E39C1"/>
    <w:rsid w:val="003E3ED4"/>
    <w:rsid w:val="003E54C4"/>
    <w:rsid w:val="003E7C02"/>
    <w:rsid w:val="003F02E7"/>
    <w:rsid w:val="003F0929"/>
    <w:rsid w:val="003F16A5"/>
    <w:rsid w:val="003F2F19"/>
    <w:rsid w:val="003F3D8A"/>
    <w:rsid w:val="003F4EA3"/>
    <w:rsid w:val="003F583B"/>
    <w:rsid w:val="0040013B"/>
    <w:rsid w:val="00401A2B"/>
    <w:rsid w:val="0040241E"/>
    <w:rsid w:val="00403218"/>
    <w:rsid w:val="00403ED6"/>
    <w:rsid w:val="00407A2C"/>
    <w:rsid w:val="00407EC7"/>
    <w:rsid w:val="00410351"/>
    <w:rsid w:val="0041055E"/>
    <w:rsid w:val="0041075B"/>
    <w:rsid w:val="00410EA2"/>
    <w:rsid w:val="004112D9"/>
    <w:rsid w:val="00411636"/>
    <w:rsid w:val="00414D6D"/>
    <w:rsid w:val="00420ACA"/>
    <w:rsid w:val="004217E0"/>
    <w:rsid w:val="00421DF4"/>
    <w:rsid w:val="00421EA9"/>
    <w:rsid w:val="00422057"/>
    <w:rsid w:val="004222C6"/>
    <w:rsid w:val="00422F7A"/>
    <w:rsid w:val="004230D4"/>
    <w:rsid w:val="00423B44"/>
    <w:rsid w:val="004255E8"/>
    <w:rsid w:val="00426447"/>
    <w:rsid w:val="00426653"/>
    <w:rsid w:val="00426CBA"/>
    <w:rsid w:val="0043167A"/>
    <w:rsid w:val="00431E79"/>
    <w:rsid w:val="00431F42"/>
    <w:rsid w:val="0043208C"/>
    <w:rsid w:val="004320BB"/>
    <w:rsid w:val="00432307"/>
    <w:rsid w:val="00432D9A"/>
    <w:rsid w:val="00433182"/>
    <w:rsid w:val="004346EA"/>
    <w:rsid w:val="00440171"/>
    <w:rsid w:val="004413AA"/>
    <w:rsid w:val="004437FC"/>
    <w:rsid w:val="00443DC9"/>
    <w:rsid w:val="00444889"/>
    <w:rsid w:val="00444B2B"/>
    <w:rsid w:val="00445583"/>
    <w:rsid w:val="00446174"/>
    <w:rsid w:val="004500A2"/>
    <w:rsid w:val="00451129"/>
    <w:rsid w:val="004516B1"/>
    <w:rsid w:val="00452280"/>
    <w:rsid w:val="0045371B"/>
    <w:rsid w:val="00453835"/>
    <w:rsid w:val="00453D7D"/>
    <w:rsid w:val="00453F5D"/>
    <w:rsid w:val="00454075"/>
    <w:rsid w:val="00454236"/>
    <w:rsid w:val="00455ED0"/>
    <w:rsid w:val="004569E8"/>
    <w:rsid w:val="00456AEB"/>
    <w:rsid w:val="00456B7E"/>
    <w:rsid w:val="00456E5C"/>
    <w:rsid w:val="00457899"/>
    <w:rsid w:val="00457AFA"/>
    <w:rsid w:val="00457FAB"/>
    <w:rsid w:val="004607CB"/>
    <w:rsid w:val="004608B0"/>
    <w:rsid w:val="00460D31"/>
    <w:rsid w:val="00461EB8"/>
    <w:rsid w:val="004624BD"/>
    <w:rsid w:val="00462718"/>
    <w:rsid w:val="00463B8D"/>
    <w:rsid w:val="00463BDC"/>
    <w:rsid w:val="004640D5"/>
    <w:rsid w:val="004651AF"/>
    <w:rsid w:val="0046529D"/>
    <w:rsid w:val="004660E9"/>
    <w:rsid w:val="00467EF2"/>
    <w:rsid w:val="004703C8"/>
    <w:rsid w:val="00471962"/>
    <w:rsid w:val="00471B4F"/>
    <w:rsid w:val="00473363"/>
    <w:rsid w:val="00473F8A"/>
    <w:rsid w:val="00474002"/>
    <w:rsid w:val="00475193"/>
    <w:rsid w:val="00481010"/>
    <w:rsid w:val="00482ED6"/>
    <w:rsid w:val="0048562D"/>
    <w:rsid w:val="00485E4B"/>
    <w:rsid w:val="0048631D"/>
    <w:rsid w:val="0048725B"/>
    <w:rsid w:val="00487E92"/>
    <w:rsid w:val="004904C2"/>
    <w:rsid w:val="004921F5"/>
    <w:rsid w:val="00494BD9"/>
    <w:rsid w:val="004954E7"/>
    <w:rsid w:val="00496488"/>
    <w:rsid w:val="00496513"/>
    <w:rsid w:val="004968F1"/>
    <w:rsid w:val="004971AC"/>
    <w:rsid w:val="0049772A"/>
    <w:rsid w:val="00497825"/>
    <w:rsid w:val="004A0124"/>
    <w:rsid w:val="004A091D"/>
    <w:rsid w:val="004A1F92"/>
    <w:rsid w:val="004A2126"/>
    <w:rsid w:val="004A3DA0"/>
    <w:rsid w:val="004A662F"/>
    <w:rsid w:val="004A7767"/>
    <w:rsid w:val="004A7A37"/>
    <w:rsid w:val="004A7F1F"/>
    <w:rsid w:val="004B10F1"/>
    <w:rsid w:val="004B1742"/>
    <w:rsid w:val="004B1C13"/>
    <w:rsid w:val="004B28BD"/>
    <w:rsid w:val="004B2B65"/>
    <w:rsid w:val="004B3233"/>
    <w:rsid w:val="004B40BE"/>
    <w:rsid w:val="004B4E9E"/>
    <w:rsid w:val="004B501A"/>
    <w:rsid w:val="004B650A"/>
    <w:rsid w:val="004B6CF1"/>
    <w:rsid w:val="004B77FA"/>
    <w:rsid w:val="004C095C"/>
    <w:rsid w:val="004C0EA3"/>
    <w:rsid w:val="004C1658"/>
    <w:rsid w:val="004C1BDE"/>
    <w:rsid w:val="004C3C40"/>
    <w:rsid w:val="004C3DE6"/>
    <w:rsid w:val="004C41C9"/>
    <w:rsid w:val="004C4D5B"/>
    <w:rsid w:val="004C6B32"/>
    <w:rsid w:val="004C7600"/>
    <w:rsid w:val="004C7639"/>
    <w:rsid w:val="004D2FB9"/>
    <w:rsid w:val="004D4758"/>
    <w:rsid w:val="004D4A3C"/>
    <w:rsid w:val="004D51BA"/>
    <w:rsid w:val="004D5610"/>
    <w:rsid w:val="004D5CC4"/>
    <w:rsid w:val="004E02F0"/>
    <w:rsid w:val="004E0725"/>
    <w:rsid w:val="004E1644"/>
    <w:rsid w:val="004E18BA"/>
    <w:rsid w:val="004E23DB"/>
    <w:rsid w:val="004E5030"/>
    <w:rsid w:val="004E5146"/>
    <w:rsid w:val="004E7566"/>
    <w:rsid w:val="004E7D1A"/>
    <w:rsid w:val="004F0C0F"/>
    <w:rsid w:val="004F0EE2"/>
    <w:rsid w:val="004F174D"/>
    <w:rsid w:val="004F183B"/>
    <w:rsid w:val="004F2550"/>
    <w:rsid w:val="004F4368"/>
    <w:rsid w:val="004F4641"/>
    <w:rsid w:val="004F47AE"/>
    <w:rsid w:val="004F56EB"/>
    <w:rsid w:val="004F6323"/>
    <w:rsid w:val="004F679E"/>
    <w:rsid w:val="004F68C4"/>
    <w:rsid w:val="004F7A95"/>
    <w:rsid w:val="004F7F75"/>
    <w:rsid w:val="0050087C"/>
    <w:rsid w:val="00502B69"/>
    <w:rsid w:val="00502F35"/>
    <w:rsid w:val="00502FBC"/>
    <w:rsid w:val="00503670"/>
    <w:rsid w:val="00504024"/>
    <w:rsid w:val="00504304"/>
    <w:rsid w:val="00504931"/>
    <w:rsid w:val="005050AF"/>
    <w:rsid w:val="0050559B"/>
    <w:rsid w:val="00506345"/>
    <w:rsid w:val="0050686B"/>
    <w:rsid w:val="00507748"/>
    <w:rsid w:val="0051175C"/>
    <w:rsid w:val="005119CB"/>
    <w:rsid w:val="00512044"/>
    <w:rsid w:val="005128B3"/>
    <w:rsid w:val="00513242"/>
    <w:rsid w:val="00513404"/>
    <w:rsid w:val="005151C1"/>
    <w:rsid w:val="00517999"/>
    <w:rsid w:val="005210D0"/>
    <w:rsid w:val="0052131E"/>
    <w:rsid w:val="00521B2E"/>
    <w:rsid w:val="00521DB6"/>
    <w:rsid w:val="00522555"/>
    <w:rsid w:val="005239C4"/>
    <w:rsid w:val="00525EFA"/>
    <w:rsid w:val="005275A0"/>
    <w:rsid w:val="005275FD"/>
    <w:rsid w:val="00527BD9"/>
    <w:rsid w:val="00527CF7"/>
    <w:rsid w:val="00527E99"/>
    <w:rsid w:val="005302DE"/>
    <w:rsid w:val="0053184F"/>
    <w:rsid w:val="00532EEA"/>
    <w:rsid w:val="00534300"/>
    <w:rsid w:val="0054006B"/>
    <w:rsid w:val="00540EB1"/>
    <w:rsid w:val="00541022"/>
    <w:rsid w:val="005414F6"/>
    <w:rsid w:val="00542577"/>
    <w:rsid w:val="00542BD6"/>
    <w:rsid w:val="005433F3"/>
    <w:rsid w:val="0054522D"/>
    <w:rsid w:val="0054665E"/>
    <w:rsid w:val="005503AF"/>
    <w:rsid w:val="005506F8"/>
    <w:rsid w:val="00550964"/>
    <w:rsid w:val="00550A4C"/>
    <w:rsid w:val="00551ADB"/>
    <w:rsid w:val="00551D67"/>
    <w:rsid w:val="00554DC9"/>
    <w:rsid w:val="0055590F"/>
    <w:rsid w:val="00555E72"/>
    <w:rsid w:val="0055643C"/>
    <w:rsid w:val="00556E7D"/>
    <w:rsid w:val="00557E43"/>
    <w:rsid w:val="00563ABB"/>
    <w:rsid w:val="00563F8E"/>
    <w:rsid w:val="00564B60"/>
    <w:rsid w:val="005654BE"/>
    <w:rsid w:val="0056731F"/>
    <w:rsid w:val="005705E2"/>
    <w:rsid w:val="0057079D"/>
    <w:rsid w:val="00571547"/>
    <w:rsid w:val="0057188A"/>
    <w:rsid w:val="0057380F"/>
    <w:rsid w:val="00574F32"/>
    <w:rsid w:val="00576A92"/>
    <w:rsid w:val="00576DC2"/>
    <w:rsid w:val="00576F40"/>
    <w:rsid w:val="00577AFB"/>
    <w:rsid w:val="005806A6"/>
    <w:rsid w:val="00580944"/>
    <w:rsid w:val="00581032"/>
    <w:rsid w:val="00581FAB"/>
    <w:rsid w:val="00582121"/>
    <w:rsid w:val="00583AE3"/>
    <w:rsid w:val="0058440A"/>
    <w:rsid w:val="005847AA"/>
    <w:rsid w:val="005857D8"/>
    <w:rsid w:val="0058714A"/>
    <w:rsid w:val="00587775"/>
    <w:rsid w:val="00587862"/>
    <w:rsid w:val="00587D23"/>
    <w:rsid w:val="00587EB0"/>
    <w:rsid w:val="00591BCF"/>
    <w:rsid w:val="00591C44"/>
    <w:rsid w:val="00593C45"/>
    <w:rsid w:val="005943A6"/>
    <w:rsid w:val="00594D3F"/>
    <w:rsid w:val="00594EE1"/>
    <w:rsid w:val="00595534"/>
    <w:rsid w:val="0059573C"/>
    <w:rsid w:val="00595AAA"/>
    <w:rsid w:val="005967EE"/>
    <w:rsid w:val="00597567"/>
    <w:rsid w:val="00597BC0"/>
    <w:rsid w:val="005A01FD"/>
    <w:rsid w:val="005A1732"/>
    <w:rsid w:val="005A227D"/>
    <w:rsid w:val="005A324F"/>
    <w:rsid w:val="005A3EE6"/>
    <w:rsid w:val="005A50C3"/>
    <w:rsid w:val="005A6164"/>
    <w:rsid w:val="005A67C1"/>
    <w:rsid w:val="005A762F"/>
    <w:rsid w:val="005A7ACA"/>
    <w:rsid w:val="005B0315"/>
    <w:rsid w:val="005B1101"/>
    <w:rsid w:val="005B212C"/>
    <w:rsid w:val="005B2F21"/>
    <w:rsid w:val="005B33FE"/>
    <w:rsid w:val="005B3405"/>
    <w:rsid w:val="005B35AD"/>
    <w:rsid w:val="005B6096"/>
    <w:rsid w:val="005B7042"/>
    <w:rsid w:val="005C2552"/>
    <w:rsid w:val="005C332A"/>
    <w:rsid w:val="005C4AA4"/>
    <w:rsid w:val="005C5627"/>
    <w:rsid w:val="005C6D9A"/>
    <w:rsid w:val="005C6F67"/>
    <w:rsid w:val="005C7059"/>
    <w:rsid w:val="005D037C"/>
    <w:rsid w:val="005D06C4"/>
    <w:rsid w:val="005D19B1"/>
    <w:rsid w:val="005D1BC4"/>
    <w:rsid w:val="005D1D94"/>
    <w:rsid w:val="005D1E25"/>
    <w:rsid w:val="005D2488"/>
    <w:rsid w:val="005D42E9"/>
    <w:rsid w:val="005D6C3B"/>
    <w:rsid w:val="005D74C6"/>
    <w:rsid w:val="005D7FFE"/>
    <w:rsid w:val="005E0C5F"/>
    <w:rsid w:val="005E1169"/>
    <w:rsid w:val="005E1F7E"/>
    <w:rsid w:val="005E230A"/>
    <w:rsid w:val="005E25B4"/>
    <w:rsid w:val="005E37A1"/>
    <w:rsid w:val="005E3E4F"/>
    <w:rsid w:val="005E6402"/>
    <w:rsid w:val="005E6448"/>
    <w:rsid w:val="005E725D"/>
    <w:rsid w:val="005E7E34"/>
    <w:rsid w:val="005F2E96"/>
    <w:rsid w:val="005F37A2"/>
    <w:rsid w:val="005F386B"/>
    <w:rsid w:val="005F4398"/>
    <w:rsid w:val="005F5662"/>
    <w:rsid w:val="005F5F86"/>
    <w:rsid w:val="005F6353"/>
    <w:rsid w:val="005F64B9"/>
    <w:rsid w:val="005F68B9"/>
    <w:rsid w:val="005F7BA0"/>
    <w:rsid w:val="00600F6A"/>
    <w:rsid w:val="006016ED"/>
    <w:rsid w:val="006019A6"/>
    <w:rsid w:val="006019F1"/>
    <w:rsid w:val="00601FFA"/>
    <w:rsid w:val="00602707"/>
    <w:rsid w:val="00603A4D"/>
    <w:rsid w:val="00606AA0"/>
    <w:rsid w:val="006074FB"/>
    <w:rsid w:val="0061035F"/>
    <w:rsid w:val="00611F67"/>
    <w:rsid w:val="00612803"/>
    <w:rsid w:val="00612F86"/>
    <w:rsid w:val="00616445"/>
    <w:rsid w:val="00616A78"/>
    <w:rsid w:val="00616A99"/>
    <w:rsid w:val="00617D84"/>
    <w:rsid w:val="006201BC"/>
    <w:rsid w:val="00620C22"/>
    <w:rsid w:val="00621076"/>
    <w:rsid w:val="00621242"/>
    <w:rsid w:val="006215F2"/>
    <w:rsid w:val="00622D6A"/>
    <w:rsid w:val="00624017"/>
    <w:rsid w:val="00626669"/>
    <w:rsid w:val="00627609"/>
    <w:rsid w:val="00633830"/>
    <w:rsid w:val="00633F93"/>
    <w:rsid w:val="006358C1"/>
    <w:rsid w:val="0063598A"/>
    <w:rsid w:val="00636F07"/>
    <w:rsid w:val="00637A05"/>
    <w:rsid w:val="00640F56"/>
    <w:rsid w:val="006411E6"/>
    <w:rsid w:val="00642D2F"/>
    <w:rsid w:val="00646790"/>
    <w:rsid w:val="006476ED"/>
    <w:rsid w:val="006479F7"/>
    <w:rsid w:val="00647A13"/>
    <w:rsid w:val="00647E7E"/>
    <w:rsid w:val="00650002"/>
    <w:rsid w:val="006505C5"/>
    <w:rsid w:val="0065139C"/>
    <w:rsid w:val="00651B0A"/>
    <w:rsid w:val="006522F1"/>
    <w:rsid w:val="00652F99"/>
    <w:rsid w:val="006538DF"/>
    <w:rsid w:val="00653EBA"/>
    <w:rsid w:val="00657300"/>
    <w:rsid w:val="006605D9"/>
    <w:rsid w:val="00660BA2"/>
    <w:rsid w:val="00660D10"/>
    <w:rsid w:val="006615C8"/>
    <w:rsid w:val="00661804"/>
    <w:rsid w:val="0066195B"/>
    <w:rsid w:val="00662BA4"/>
    <w:rsid w:val="006631F9"/>
    <w:rsid w:val="006634CD"/>
    <w:rsid w:val="00665935"/>
    <w:rsid w:val="00665BD9"/>
    <w:rsid w:val="00666D4E"/>
    <w:rsid w:val="00667291"/>
    <w:rsid w:val="0067016F"/>
    <w:rsid w:val="006726E8"/>
    <w:rsid w:val="00672AA9"/>
    <w:rsid w:val="00673373"/>
    <w:rsid w:val="00673519"/>
    <w:rsid w:val="006738A7"/>
    <w:rsid w:val="00673EB3"/>
    <w:rsid w:val="00674099"/>
    <w:rsid w:val="00674754"/>
    <w:rsid w:val="00675339"/>
    <w:rsid w:val="00675F8E"/>
    <w:rsid w:val="00676A0F"/>
    <w:rsid w:val="00677455"/>
    <w:rsid w:val="00680FA5"/>
    <w:rsid w:val="00681679"/>
    <w:rsid w:val="0068276C"/>
    <w:rsid w:val="00683C15"/>
    <w:rsid w:val="00683CE9"/>
    <w:rsid w:val="00683E2D"/>
    <w:rsid w:val="00684388"/>
    <w:rsid w:val="00687BF3"/>
    <w:rsid w:val="00690039"/>
    <w:rsid w:val="0069168F"/>
    <w:rsid w:val="00692366"/>
    <w:rsid w:val="006925B3"/>
    <w:rsid w:val="00693A60"/>
    <w:rsid w:val="006948E1"/>
    <w:rsid w:val="00696FD0"/>
    <w:rsid w:val="00697433"/>
    <w:rsid w:val="006A18DF"/>
    <w:rsid w:val="006A1B9A"/>
    <w:rsid w:val="006A272E"/>
    <w:rsid w:val="006A2807"/>
    <w:rsid w:val="006A3F9C"/>
    <w:rsid w:val="006A6D40"/>
    <w:rsid w:val="006A7AC3"/>
    <w:rsid w:val="006B0C18"/>
    <w:rsid w:val="006B12AE"/>
    <w:rsid w:val="006B1C07"/>
    <w:rsid w:val="006B29B7"/>
    <w:rsid w:val="006B358C"/>
    <w:rsid w:val="006B3BD3"/>
    <w:rsid w:val="006B4E3C"/>
    <w:rsid w:val="006B55A1"/>
    <w:rsid w:val="006B5A7C"/>
    <w:rsid w:val="006B695A"/>
    <w:rsid w:val="006B7925"/>
    <w:rsid w:val="006C1C3F"/>
    <w:rsid w:val="006C3689"/>
    <w:rsid w:val="006C3749"/>
    <w:rsid w:val="006C49B8"/>
    <w:rsid w:val="006C6083"/>
    <w:rsid w:val="006C7052"/>
    <w:rsid w:val="006C716B"/>
    <w:rsid w:val="006C728C"/>
    <w:rsid w:val="006C7304"/>
    <w:rsid w:val="006C7AB8"/>
    <w:rsid w:val="006D124C"/>
    <w:rsid w:val="006D21A3"/>
    <w:rsid w:val="006D2B8F"/>
    <w:rsid w:val="006D2BA9"/>
    <w:rsid w:val="006D360C"/>
    <w:rsid w:val="006D4162"/>
    <w:rsid w:val="006D5031"/>
    <w:rsid w:val="006D5426"/>
    <w:rsid w:val="006D6192"/>
    <w:rsid w:val="006D6700"/>
    <w:rsid w:val="006D6A68"/>
    <w:rsid w:val="006D6B4F"/>
    <w:rsid w:val="006D7EDF"/>
    <w:rsid w:val="006E0787"/>
    <w:rsid w:val="006E2209"/>
    <w:rsid w:val="006E3166"/>
    <w:rsid w:val="006E5206"/>
    <w:rsid w:val="006E529C"/>
    <w:rsid w:val="006E5E60"/>
    <w:rsid w:val="006E735A"/>
    <w:rsid w:val="006F082C"/>
    <w:rsid w:val="006F4470"/>
    <w:rsid w:val="006F4B04"/>
    <w:rsid w:val="006F7716"/>
    <w:rsid w:val="006F7743"/>
    <w:rsid w:val="007002EE"/>
    <w:rsid w:val="00701920"/>
    <w:rsid w:val="00701B88"/>
    <w:rsid w:val="007030F7"/>
    <w:rsid w:val="00703CC7"/>
    <w:rsid w:val="00703D97"/>
    <w:rsid w:val="007046E8"/>
    <w:rsid w:val="00704861"/>
    <w:rsid w:val="00704E05"/>
    <w:rsid w:val="007064AA"/>
    <w:rsid w:val="007068E9"/>
    <w:rsid w:val="00710B2D"/>
    <w:rsid w:val="00711DE8"/>
    <w:rsid w:val="00711E84"/>
    <w:rsid w:val="00712492"/>
    <w:rsid w:val="00713C4F"/>
    <w:rsid w:val="00714842"/>
    <w:rsid w:val="00714DA6"/>
    <w:rsid w:val="00714F82"/>
    <w:rsid w:val="0071507F"/>
    <w:rsid w:val="00715595"/>
    <w:rsid w:val="0071655C"/>
    <w:rsid w:val="00716967"/>
    <w:rsid w:val="007177B2"/>
    <w:rsid w:val="007201B5"/>
    <w:rsid w:val="007208CE"/>
    <w:rsid w:val="0072381F"/>
    <w:rsid w:val="00724715"/>
    <w:rsid w:val="00725759"/>
    <w:rsid w:val="007269D5"/>
    <w:rsid w:val="00726B71"/>
    <w:rsid w:val="00726C82"/>
    <w:rsid w:val="007300ED"/>
    <w:rsid w:val="007302E2"/>
    <w:rsid w:val="00731667"/>
    <w:rsid w:val="007318D3"/>
    <w:rsid w:val="00732495"/>
    <w:rsid w:val="00732868"/>
    <w:rsid w:val="00734124"/>
    <w:rsid w:val="0073413C"/>
    <w:rsid w:val="007343DB"/>
    <w:rsid w:val="007367AF"/>
    <w:rsid w:val="007368DF"/>
    <w:rsid w:val="00736C2F"/>
    <w:rsid w:val="007377C6"/>
    <w:rsid w:val="00737B85"/>
    <w:rsid w:val="00737E8B"/>
    <w:rsid w:val="00737FE1"/>
    <w:rsid w:val="00740C7F"/>
    <w:rsid w:val="00740F2D"/>
    <w:rsid w:val="00742ECC"/>
    <w:rsid w:val="00742FB6"/>
    <w:rsid w:val="00743430"/>
    <w:rsid w:val="00744591"/>
    <w:rsid w:val="007454CE"/>
    <w:rsid w:val="007464DB"/>
    <w:rsid w:val="0074772C"/>
    <w:rsid w:val="0074799F"/>
    <w:rsid w:val="007504F4"/>
    <w:rsid w:val="00750B5D"/>
    <w:rsid w:val="00752947"/>
    <w:rsid w:val="00752B70"/>
    <w:rsid w:val="00754CFA"/>
    <w:rsid w:val="00755FB5"/>
    <w:rsid w:val="0076036E"/>
    <w:rsid w:val="00760800"/>
    <w:rsid w:val="00760F49"/>
    <w:rsid w:val="00761A61"/>
    <w:rsid w:val="00762019"/>
    <w:rsid w:val="007626B4"/>
    <w:rsid w:val="0076287A"/>
    <w:rsid w:val="00763471"/>
    <w:rsid w:val="00764D1E"/>
    <w:rsid w:val="0076557B"/>
    <w:rsid w:val="00765B54"/>
    <w:rsid w:val="00765EDD"/>
    <w:rsid w:val="007668BC"/>
    <w:rsid w:val="00770DA9"/>
    <w:rsid w:val="00771D09"/>
    <w:rsid w:val="00772EB4"/>
    <w:rsid w:val="00773948"/>
    <w:rsid w:val="00774DAC"/>
    <w:rsid w:val="00775002"/>
    <w:rsid w:val="00775EFA"/>
    <w:rsid w:val="00776A3F"/>
    <w:rsid w:val="00780FA6"/>
    <w:rsid w:val="00781751"/>
    <w:rsid w:val="00781976"/>
    <w:rsid w:val="00782B33"/>
    <w:rsid w:val="00782B5E"/>
    <w:rsid w:val="007839C0"/>
    <w:rsid w:val="0078439C"/>
    <w:rsid w:val="00784B34"/>
    <w:rsid w:val="00784D95"/>
    <w:rsid w:val="00785F4C"/>
    <w:rsid w:val="00786085"/>
    <w:rsid w:val="007874D7"/>
    <w:rsid w:val="00791219"/>
    <w:rsid w:val="00791EF8"/>
    <w:rsid w:val="007920A2"/>
    <w:rsid w:val="00792A82"/>
    <w:rsid w:val="00793F80"/>
    <w:rsid w:val="00794E68"/>
    <w:rsid w:val="00794E80"/>
    <w:rsid w:val="007973EA"/>
    <w:rsid w:val="00797C6D"/>
    <w:rsid w:val="007A06FF"/>
    <w:rsid w:val="007A0CD7"/>
    <w:rsid w:val="007A0CFD"/>
    <w:rsid w:val="007A0F80"/>
    <w:rsid w:val="007A17A9"/>
    <w:rsid w:val="007A219D"/>
    <w:rsid w:val="007A22C5"/>
    <w:rsid w:val="007A25BC"/>
    <w:rsid w:val="007A3303"/>
    <w:rsid w:val="007A3497"/>
    <w:rsid w:val="007A3D36"/>
    <w:rsid w:val="007A3D47"/>
    <w:rsid w:val="007A4CB9"/>
    <w:rsid w:val="007A521F"/>
    <w:rsid w:val="007A64CE"/>
    <w:rsid w:val="007A772C"/>
    <w:rsid w:val="007B04E3"/>
    <w:rsid w:val="007B1BB4"/>
    <w:rsid w:val="007B2537"/>
    <w:rsid w:val="007B2E3D"/>
    <w:rsid w:val="007B3F15"/>
    <w:rsid w:val="007B508D"/>
    <w:rsid w:val="007B525F"/>
    <w:rsid w:val="007B53C5"/>
    <w:rsid w:val="007B5979"/>
    <w:rsid w:val="007B7032"/>
    <w:rsid w:val="007C0131"/>
    <w:rsid w:val="007C0A10"/>
    <w:rsid w:val="007C1505"/>
    <w:rsid w:val="007C1673"/>
    <w:rsid w:val="007C214F"/>
    <w:rsid w:val="007C261C"/>
    <w:rsid w:val="007C263B"/>
    <w:rsid w:val="007C3B9E"/>
    <w:rsid w:val="007C3CAD"/>
    <w:rsid w:val="007C63B9"/>
    <w:rsid w:val="007C6AC3"/>
    <w:rsid w:val="007C6B4E"/>
    <w:rsid w:val="007C79EF"/>
    <w:rsid w:val="007D00DA"/>
    <w:rsid w:val="007D1D0B"/>
    <w:rsid w:val="007D1D9C"/>
    <w:rsid w:val="007D1F60"/>
    <w:rsid w:val="007D2165"/>
    <w:rsid w:val="007D2758"/>
    <w:rsid w:val="007D40C4"/>
    <w:rsid w:val="007D6EBA"/>
    <w:rsid w:val="007D726B"/>
    <w:rsid w:val="007D76A1"/>
    <w:rsid w:val="007E0896"/>
    <w:rsid w:val="007E2392"/>
    <w:rsid w:val="007E35CE"/>
    <w:rsid w:val="007E4663"/>
    <w:rsid w:val="007E5861"/>
    <w:rsid w:val="007E6629"/>
    <w:rsid w:val="007F0F94"/>
    <w:rsid w:val="007F219F"/>
    <w:rsid w:val="007F2A12"/>
    <w:rsid w:val="007F2C3D"/>
    <w:rsid w:val="007F2DF0"/>
    <w:rsid w:val="007F3C2A"/>
    <w:rsid w:val="007F5947"/>
    <w:rsid w:val="007F6509"/>
    <w:rsid w:val="007F733C"/>
    <w:rsid w:val="007F752B"/>
    <w:rsid w:val="00800214"/>
    <w:rsid w:val="00800499"/>
    <w:rsid w:val="00800DD9"/>
    <w:rsid w:val="0080138E"/>
    <w:rsid w:val="00802437"/>
    <w:rsid w:val="008036AD"/>
    <w:rsid w:val="00803871"/>
    <w:rsid w:val="00803D3E"/>
    <w:rsid w:val="00805DA0"/>
    <w:rsid w:val="00805F7E"/>
    <w:rsid w:val="0080799E"/>
    <w:rsid w:val="00810C14"/>
    <w:rsid w:val="008123A6"/>
    <w:rsid w:val="0081249C"/>
    <w:rsid w:val="0081318C"/>
    <w:rsid w:val="008131E5"/>
    <w:rsid w:val="00814088"/>
    <w:rsid w:val="008143E2"/>
    <w:rsid w:val="00814509"/>
    <w:rsid w:val="00815240"/>
    <w:rsid w:val="00815570"/>
    <w:rsid w:val="008160BF"/>
    <w:rsid w:val="00816268"/>
    <w:rsid w:val="008164BF"/>
    <w:rsid w:val="00817292"/>
    <w:rsid w:val="0081788C"/>
    <w:rsid w:val="0082331B"/>
    <w:rsid w:val="00823935"/>
    <w:rsid w:val="0082458E"/>
    <w:rsid w:val="00824AE6"/>
    <w:rsid w:val="00825664"/>
    <w:rsid w:val="00825C5B"/>
    <w:rsid w:val="00825C5C"/>
    <w:rsid w:val="00826FD5"/>
    <w:rsid w:val="0082735D"/>
    <w:rsid w:val="0083052D"/>
    <w:rsid w:val="0083228C"/>
    <w:rsid w:val="008338B5"/>
    <w:rsid w:val="008359A7"/>
    <w:rsid w:val="008359D9"/>
    <w:rsid w:val="00835BE1"/>
    <w:rsid w:val="00836021"/>
    <w:rsid w:val="00836815"/>
    <w:rsid w:val="00837732"/>
    <w:rsid w:val="008404B1"/>
    <w:rsid w:val="008413DE"/>
    <w:rsid w:val="00841AFD"/>
    <w:rsid w:val="00842D86"/>
    <w:rsid w:val="00843EE1"/>
    <w:rsid w:val="00845AAB"/>
    <w:rsid w:val="00845FF6"/>
    <w:rsid w:val="008476D2"/>
    <w:rsid w:val="00847A18"/>
    <w:rsid w:val="0085040F"/>
    <w:rsid w:val="00852117"/>
    <w:rsid w:val="008524A6"/>
    <w:rsid w:val="00853E4F"/>
    <w:rsid w:val="00854EBC"/>
    <w:rsid w:val="00856A02"/>
    <w:rsid w:val="00856D21"/>
    <w:rsid w:val="0085799D"/>
    <w:rsid w:val="00857D8C"/>
    <w:rsid w:val="00860A30"/>
    <w:rsid w:val="00860AA3"/>
    <w:rsid w:val="00862846"/>
    <w:rsid w:val="0086312B"/>
    <w:rsid w:val="00863774"/>
    <w:rsid w:val="00864F85"/>
    <w:rsid w:val="00866C88"/>
    <w:rsid w:val="00867099"/>
    <w:rsid w:val="00867C01"/>
    <w:rsid w:val="00867C6D"/>
    <w:rsid w:val="00871ED7"/>
    <w:rsid w:val="0087208F"/>
    <w:rsid w:val="00872415"/>
    <w:rsid w:val="00872E18"/>
    <w:rsid w:val="008732EF"/>
    <w:rsid w:val="00875193"/>
    <w:rsid w:val="00876A13"/>
    <w:rsid w:val="00877467"/>
    <w:rsid w:val="008824FD"/>
    <w:rsid w:val="00883419"/>
    <w:rsid w:val="00883470"/>
    <w:rsid w:val="00884A1E"/>
    <w:rsid w:val="00884BD3"/>
    <w:rsid w:val="0089087B"/>
    <w:rsid w:val="00891184"/>
    <w:rsid w:val="0089291E"/>
    <w:rsid w:val="008930F4"/>
    <w:rsid w:val="008930FC"/>
    <w:rsid w:val="00896269"/>
    <w:rsid w:val="008962CC"/>
    <w:rsid w:val="00896E8C"/>
    <w:rsid w:val="008A0605"/>
    <w:rsid w:val="008A23DA"/>
    <w:rsid w:val="008A350D"/>
    <w:rsid w:val="008A3A1A"/>
    <w:rsid w:val="008A3E90"/>
    <w:rsid w:val="008A4EF7"/>
    <w:rsid w:val="008A4FDB"/>
    <w:rsid w:val="008A566F"/>
    <w:rsid w:val="008A5C1E"/>
    <w:rsid w:val="008A6235"/>
    <w:rsid w:val="008A67F6"/>
    <w:rsid w:val="008A6F9B"/>
    <w:rsid w:val="008B00B4"/>
    <w:rsid w:val="008B0F9C"/>
    <w:rsid w:val="008B10C4"/>
    <w:rsid w:val="008B1607"/>
    <w:rsid w:val="008B161C"/>
    <w:rsid w:val="008B1AC8"/>
    <w:rsid w:val="008B3262"/>
    <w:rsid w:val="008B33AF"/>
    <w:rsid w:val="008B348C"/>
    <w:rsid w:val="008B5027"/>
    <w:rsid w:val="008B670C"/>
    <w:rsid w:val="008B7566"/>
    <w:rsid w:val="008C0C97"/>
    <w:rsid w:val="008C17CD"/>
    <w:rsid w:val="008C1EF6"/>
    <w:rsid w:val="008C2E81"/>
    <w:rsid w:val="008C496D"/>
    <w:rsid w:val="008C4DB8"/>
    <w:rsid w:val="008C64FF"/>
    <w:rsid w:val="008C6C74"/>
    <w:rsid w:val="008C6EE6"/>
    <w:rsid w:val="008C6FCC"/>
    <w:rsid w:val="008D0DBB"/>
    <w:rsid w:val="008D15BF"/>
    <w:rsid w:val="008D261F"/>
    <w:rsid w:val="008D29FA"/>
    <w:rsid w:val="008D2A00"/>
    <w:rsid w:val="008D3538"/>
    <w:rsid w:val="008D5303"/>
    <w:rsid w:val="008D59DA"/>
    <w:rsid w:val="008D73CB"/>
    <w:rsid w:val="008D7DBE"/>
    <w:rsid w:val="008E0CC6"/>
    <w:rsid w:val="008E3101"/>
    <w:rsid w:val="008E3D11"/>
    <w:rsid w:val="008E52EF"/>
    <w:rsid w:val="008E6CC4"/>
    <w:rsid w:val="008E7698"/>
    <w:rsid w:val="008F0679"/>
    <w:rsid w:val="008F08E4"/>
    <w:rsid w:val="008F0B1B"/>
    <w:rsid w:val="008F3123"/>
    <w:rsid w:val="008F3ABE"/>
    <w:rsid w:val="008F3F36"/>
    <w:rsid w:val="008F3F84"/>
    <w:rsid w:val="008F4233"/>
    <w:rsid w:val="008F49B1"/>
    <w:rsid w:val="008F59EF"/>
    <w:rsid w:val="008F5CC4"/>
    <w:rsid w:val="008F6463"/>
    <w:rsid w:val="008F7272"/>
    <w:rsid w:val="008F75CD"/>
    <w:rsid w:val="008F799B"/>
    <w:rsid w:val="008F7D9F"/>
    <w:rsid w:val="009013E0"/>
    <w:rsid w:val="0090193A"/>
    <w:rsid w:val="009024CD"/>
    <w:rsid w:val="0090297A"/>
    <w:rsid w:val="009031B6"/>
    <w:rsid w:val="0090336D"/>
    <w:rsid w:val="00903785"/>
    <w:rsid w:val="009054CA"/>
    <w:rsid w:val="00905F38"/>
    <w:rsid w:val="00906A9A"/>
    <w:rsid w:val="00907B5F"/>
    <w:rsid w:val="009104D2"/>
    <w:rsid w:val="00911138"/>
    <w:rsid w:val="00911E6C"/>
    <w:rsid w:val="00913DA7"/>
    <w:rsid w:val="00915B7A"/>
    <w:rsid w:val="00917B86"/>
    <w:rsid w:val="0092043B"/>
    <w:rsid w:val="00921129"/>
    <w:rsid w:val="009211D2"/>
    <w:rsid w:val="00921D2D"/>
    <w:rsid w:val="00921DF8"/>
    <w:rsid w:val="009224E4"/>
    <w:rsid w:val="00922EF7"/>
    <w:rsid w:val="00925387"/>
    <w:rsid w:val="00925A33"/>
    <w:rsid w:val="009265C6"/>
    <w:rsid w:val="00930B4F"/>
    <w:rsid w:val="00931037"/>
    <w:rsid w:val="00931099"/>
    <w:rsid w:val="00931AF6"/>
    <w:rsid w:val="00931FC3"/>
    <w:rsid w:val="009320EC"/>
    <w:rsid w:val="00932264"/>
    <w:rsid w:val="00932471"/>
    <w:rsid w:val="00932EE1"/>
    <w:rsid w:val="009334EF"/>
    <w:rsid w:val="00933980"/>
    <w:rsid w:val="00933CBA"/>
    <w:rsid w:val="00933FC6"/>
    <w:rsid w:val="00934DDD"/>
    <w:rsid w:val="00934E10"/>
    <w:rsid w:val="00935F19"/>
    <w:rsid w:val="00936989"/>
    <w:rsid w:val="0093743B"/>
    <w:rsid w:val="009374E0"/>
    <w:rsid w:val="009376A5"/>
    <w:rsid w:val="00937AFB"/>
    <w:rsid w:val="00937D73"/>
    <w:rsid w:val="00940869"/>
    <w:rsid w:val="0094108B"/>
    <w:rsid w:val="00941C1C"/>
    <w:rsid w:val="00942AD7"/>
    <w:rsid w:val="009454D6"/>
    <w:rsid w:val="0094568D"/>
    <w:rsid w:val="00945F44"/>
    <w:rsid w:val="00950343"/>
    <w:rsid w:val="00950F72"/>
    <w:rsid w:val="00951024"/>
    <w:rsid w:val="0095112C"/>
    <w:rsid w:val="00953226"/>
    <w:rsid w:val="00953959"/>
    <w:rsid w:val="00953D94"/>
    <w:rsid w:val="00955922"/>
    <w:rsid w:val="00955DAD"/>
    <w:rsid w:val="00955E6B"/>
    <w:rsid w:val="00957A9D"/>
    <w:rsid w:val="00957E55"/>
    <w:rsid w:val="00960434"/>
    <w:rsid w:val="00960955"/>
    <w:rsid w:val="009615A2"/>
    <w:rsid w:val="00961C4C"/>
    <w:rsid w:val="00966586"/>
    <w:rsid w:val="00970456"/>
    <w:rsid w:val="00971B09"/>
    <w:rsid w:val="00971B84"/>
    <w:rsid w:val="00973D6C"/>
    <w:rsid w:val="009745EB"/>
    <w:rsid w:val="00975396"/>
    <w:rsid w:val="0097616A"/>
    <w:rsid w:val="0097785C"/>
    <w:rsid w:val="009804BC"/>
    <w:rsid w:val="00980742"/>
    <w:rsid w:val="009812B3"/>
    <w:rsid w:val="00982C8A"/>
    <w:rsid w:val="00983B98"/>
    <w:rsid w:val="00983CAA"/>
    <w:rsid w:val="009849AE"/>
    <w:rsid w:val="00985039"/>
    <w:rsid w:val="00985EF5"/>
    <w:rsid w:val="00986319"/>
    <w:rsid w:val="00987317"/>
    <w:rsid w:val="009907F6"/>
    <w:rsid w:val="00992F36"/>
    <w:rsid w:val="00993CB8"/>
    <w:rsid w:val="009973D5"/>
    <w:rsid w:val="009974D8"/>
    <w:rsid w:val="009A0757"/>
    <w:rsid w:val="009A4BC5"/>
    <w:rsid w:val="009A4C54"/>
    <w:rsid w:val="009A5369"/>
    <w:rsid w:val="009A71F5"/>
    <w:rsid w:val="009A71F6"/>
    <w:rsid w:val="009A7474"/>
    <w:rsid w:val="009A782A"/>
    <w:rsid w:val="009B03B5"/>
    <w:rsid w:val="009B0A0D"/>
    <w:rsid w:val="009B1673"/>
    <w:rsid w:val="009B2102"/>
    <w:rsid w:val="009B2360"/>
    <w:rsid w:val="009B49E1"/>
    <w:rsid w:val="009B5109"/>
    <w:rsid w:val="009B7059"/>
    <w:rsid w:val="009B77E9"/>
    <w:rsid w:val="009C04D8"/>
    <w:rsid w:val="009C0556"/>
    <w:rsid w:val="009C4BF4"/>
    <w:rsid w:val="009C5CF2"/>
    <w:rsid w:val="009C5D63"/>
    <w:rsid w:val="009C7751"/>
    <w:rsid w:val="009C7AE8"/>
    <w:rsid w:val="009D00AA"/>
    <w:rsid w:val="009D04E5"/>
    <w:rsid w:val="009D1C1E"/>
    <w:rsid w:val="009D1CCE"/>
    <w:rsid w:val="009D2030"/>
    <w:rsid w:val="009D344A"/>
    <w:rsid w:val="009D3BC1"/>
    <w:rsid w:val="009D4B0B"/>
    <w:rsid w:val="009D4EA2"/>
    <w:rsid w:val="009D56C5"/>
    <w:rsid w:val="009D5D11"/>
    <w:rsid w:val="009D5EC6"/>
    <w:rsid w:val="009D6DA2"/>
    <w:rsid w:val="009E0108"/>
    <w:rsid w:val="009E0412"/>
    <w:rsid w:val="009E0CFA"/>
    <w:rsid w:val="009E13D3"/>
    <w:rsid w:val="009E2371"/>
    <w:rsid w:val="009E329B"/>
    <w:rsid w:val="009E3EE0"/>
    <w:rsid w:val="009E4529"/>
    <w:rsid w:val="009E6BE7"/>
    <w:rsid w:val="009E7E91"/>
    <w:rsid w:val="009F20EF"/>
    <w:rsid w:val="009F2950"/>
    <w:rsid w:val="009F2C7B"/>
    <w:rsid w:val="009F3F8A"/>
    <w:rsid w:val="009F572D"/>
    <w:rsid w:val="009F6259"/>
    <w:rsid w:val="009F65E6"/>
    <w:rsid w:val="009F6F12"/>
    <w:rsid w:val="00A001BD"/>
    <w:rsid w:val="00A00ADF"/>
    <w:rsid w:val="00A00D99"/>
    <w:rsid w:val="00A047BA"/>
    <w:rsid w:val="00A05A55"/>
    <w:rsid w:val="00A06D2F"/>
    <w:rsid w:val="00A06EF4"/>
    <w:rsid w:val="00A106EB"/>
    <w:rsid w:val="00A13BF9"/>
    <w:rsid w:val="00A13E2B"/>
    <w:rsid w:val="00A144F8"/>
    <w:rsid w:val="00A15397"/>
    <w:rsid w:val="00A15742"/>
    <w:rsid w:val="00A15D4F"/>
    <w:rsid w:val="00A172E7"/>
    <w:rsid w:val="00A177A3"/>
    <w:rsid w:val="00A20708"/>
    <w:rsid w:val="00A208D1"/>
    <w:rsid w:val="00A22024"/>
    <w:rsid w:val="00A224F3"/>
    <w:rsid w:val="00A22525"/>
    <w:rsid w:val="00A22B91"/>
    <w:rsid w:val="00A2385D"/>
    <w:rsid w:val="00A24DD3"/>
    <w:rsid w:val="00A24FEB"/>
    <w:rsid w:val="00A258F9"/>
    <w:rsid w:val="00A27605"/>
    <w:rsid w:val="00A2775F"/>
    <w:rsid w:val="00A301EA"/>
    <w:rsid w:val="00A314D0"/>
    <w:rsid w:val="00A324ED"/>
    <w:rsid w:val="00A32CAD"/>
    <w:rsid w:val="00A340DC"/>
    <w:rsid w:val="00A356D9"/>
    <w:rsid w:val="00A35A9F"/>
    <w:rsid w:val="00A36C5F"/>
    <w:rsid w:val="00A36E15"/>
    <w:rsid w:val="00A36E3E"/>
    <w:rsid w:val="00A37786"/>
    <w:rsid w:val="00A4058C"/>
    <w:rsid w:val="00A4060F"/>
    <w:rsid w:val="00A4233D"/>
    <w:rsid w:val="00A43267"/>
    <w:rsid w:val="00A43CA5"/>
    <w:rsid w:val="00A45FF1"/>
    <w:rsid w:val="00A4696A"/>
    <w:rsid w:val="00A51E4C"/>
    <w:rsid w:val="00A525D1"/>
    <w:rsid w:val="00A53FF8"/>
    <w:rsid w:val="00A5496E"/>
    <w:rsid w:val="00A54DF0"/>
    <w:rsid w:val="00A55E0F"/>
    <w:rsid w:val="00A5627E"/>
    <w:rsid w:val="00A5668B"/>
    <w:rsid w:val="00A56CEC"/>
    <w:rsid w:val="00A60E09"/>
    <w:rsid w:val="00A6120B"/>
    <w:rsid w:val="00A6182C"/>
    <w:rsid w:val="00A61A81"/>
    <w:rsid w:val="00A642E5"/>
    <w:rsid w:val="00A64D1F"/>
    <w:rsid w:val="00A64D56"/>
    <w:rsid w:val="00A666F6"/>
    <w:rsid w:val="00A67721"/>
    <w:rsid w:val="00A7009C"/>
    <w:rsid w:val="00A71228"/>
    <w:rsid w:val="00A726AB"/>
    <w:rsid w:val="00A74769"/>
    <w:rsid w:val="00A75A83"/>
    <w:rsid w:val="00A77084"/>
    <w:rsid w:val="00A770AD"/>
    <w:rsid w:val="00A77701"/>
    <w:rsid w:val="00A77D07"/>
    <w:rsid w:val="00A808C8"/>
    <w:rsid w:val="00A867DB"/>
    <w:rsid w:val="00A8739A"/>
    <w:rsid w:val="00A901DB"/>
    <w:rsid w:val="00A90E19"/>
    <w:rsid w:val="00A916EF"/>
    <w:rsid w:val="00A92D19"/>
    <w:rsid w:val="00A954AE"/>
    <w:rsid w:val="00A95893"/>
    <w:rsid w:val="00A95D5C"/>
    <w:rsid w:val="00A97922"/>
    <w:rsid w:val="00AA00A2"/>
    <w:rsid w:val="00AA043C"/>
    <w:rsid w:val="00AA1BF2"/>
    <w:rsid w:val="00AA1ED1"/>
    <w:rsid w:val="00AA219A"/>
    <w:rsid w:val="00AA259D"/>
    <w:rsid w:val="00AA38A5"/>
    <w:rsid w:val="00AA4055"/>
    <w:rsid w:val="00AA4C09"/>
    <w:rsid w:val="00AA5255"/>
    <w:rsid w:val="00AA5603"/>
    <w:rsid w:val="00AA67ED"/>
    <w:rsid w:val="00AA74C1"/>
    <w:rsid w:val="00AA7C6D"/>
    <w:rsid w:val="00AB1697"/>
    <w:rsid w:val="00AB2133"/>
    <w:rsid w:val="00AB2CE7"/>
    <w:rsid w:val="00AB47FE"/>
    <w:rsid w:val="00AB6A25"/>
    <w:rsid w:val="00AB6B40"/>
    <w:rsid w:val="00AB770D"/>
    <w:rsid w:val="00AB77F6"/>
    <w:rsid w:val="00AB7817"/>
    <w:rsid w:val="00AC092B"/>
    <w:rsid w:val="00AC2543"/>
    <w:rsid w:val="00AC2CA3"/>
    <w:rsid w:val="00AC30A5"/>
    <w:rsid w:val="00AC36C5"/>
    <w:rsid w:val="00AC3FE2"/>
    <w:rsid w:val="00AC69CA"/>
    <w:rsid w:val="00AC733E"/>
    <w:rsid w:val="00AD00C3"/>
    <w:rsid w:val="00AD01C5"/>
    <w:rsid w:val="00AD20BF"/>
    <w:rsid w:val="00AD370B"/>
    <w:rsid w:val="00AD4322"/>
    <w:rsid w:val="00AD459D"/>
    <w:rsid w:val="00AD4ACF"/>
    <w:rsid w:val="00AD4ECA"/>
    <w:rsid w:val="00AD7852"/>
    <w:rsid w:val="00AE0DED"/>
    <w:rsid w:val="00AE5A4E"/>
    <w:rsid w:val="00AE6DE1"/>
    <w:rsid w:val="00AF02E0"/>
    <w:rsid w:val="00AF09C4"/>
    <w:rsid w:val="00AF46B4"/>
    <w:rsid w:val="00AF4E06"/>
    <w:rsid w:val="00AF4EBA"/>
    <w:rsid w:val="00AF4F79"/>
    <w:rsid w:val="00AF50AA"/>
    <w:rsid w:val="00AF5A0C"/>
    <w:rsid w:val="00AF65C3"/>
    <w:rsid w:val="00AF7273"/>
    <w:rsid w:val="00AF7C93"/>
    <w:rsid w:val="00B00613"/>
    <w:rsid w:val="00B00799"/>
    <w:rsid w:val="00B00D2F"/>
    <w:rsid w:val="00B00FC2"/>
    <w:rsid w:val="00B016BA"/>
    <w:rsid w:val="00B017C3"/>
    <w:rsid w:val="00B02C78"/>
    <w:rsid w:val="00B04C12"/>
    <w:rsid w:val="00B053E2"/>
    <w:rsid w:val="00B05510"/>
    <w:rsid w:val="00B05730"/>
    <w:rsid w:val="00B064EB"/>
    <w:rsid w:val="00B06688"/>
    <w:rsid w:val="00B07452"/>
    <w:rsid w:val="00B10373"/>
    <w:rsid w:val="00B10517"/>
    <w:rsid w:val="00B110D7"/>
    <w:rsid w:val="00B12610"/>
    <w:rsid w:val="00B1276A"/>
    <w:rsid w:val="00B12C39"/>
    <w:rsid w:val="00B133A9"/>
    <w:rsid w:val="00B13ACE"/>
    <w:rsid w:val="00B14E6D"/>
    <w:rsid w:val="00B159B6"/>
    <w:rsid w:val="00B172F0"/>
    <w:rsid w:val="00B20D34"/>
    <w:rsid w:val="00B21D38"/>
    <w:rsid w:val="00B22231"/>
    <w:rsid w:val="00B2300D"/>
    <w:rsid w:val="00B2365C"/>
    <w:rsid w:val="00B2489D"/>
    <w:rsid w:val="00B25391"/>
    <w:rsid w:val="00B25952"/>
    <w:rsid w:val="00B26295"/>
    <w:rsid w:val="00B26311"/>
    <w:rsid w:val="00B322A4"/>
    <w:rsid w:val="00B32714"/>
    <w:rsid w:val="00B3293D"/>
    <w:rsid w:val="00B33217"/>
    <w:rsid w:val="00B333F4"/>
    <w:rsid w:val="00B3465D"/>
    <w:rsid w:val="00B34B3D"/>
    <w:rsid w:val="00B34B7F"/>
    <w:rsid w:val="00B34F13"/>
    <w:rsid w:val="00B358A4"/>
    <w:rsid w:val="00B35B48"/>
    <w:rsid w:val="00B36E57"/>
    <w:rsid w:val="00B37A96"/>
    <w:rsid w:val="00B4033E"/>
    <w:rsid w:val="00B40606"/>
    <w:rsid w:val="00B40FA5"/>
    <w:rsid w:val="00B467B2"/>
    <w:rsid w:val="00B468C9"/>
    <w:rsid w:val="00B47866"/>
    <w:rsid w:val="00B52577"/>
    <w:rsid w:val="00B5561F"/>
    <w:rsid w:val="00B56C71"/>
    <w:rsid w:val="00B56E08"/>
    <w:rsid w:val="00B61257"/>
    <w:rsid w:val="00B62285"/>
    <w:rsid w:val="00B624DB"/>
    <w:rsid w:val="00B62893"/>
    <w:rsid w:val="00B636E0"/>
    <w:rsid w:val="00B6376F"/>
    <w:rsid w:val="00B63C35"/>
    <w:rsid w:val="00B65EC1"/>
    <w:rsid w:val="00B664C2"/>
    <w:rsid w:val="00B66A06"/>
    <w:rsid w:val="00B67213"/>
    <w:rsid w:val="00B67A4D"/>
    <w:rsid w:val="00B7103F"/>
    <w:rsid w:val="00B711C8"/>
    <w:rsid w:val="00B71EAA"/>
    <w:rsid w:val="00B747ED"/>
    <w:rsid w:val="00B75A20"/>
    <w:rsid w:val="00B76533"/>
    <w:rsid w:val="00B76614"/>
    <w:rsid w:val="00B769E5"/>
    <w:rsid w:val="00B77C8C"/>
    <w:rsid w:val="00B80E7F"/>
    <w:rsid w:val="00B80F25"/>
    <w:rsid w:val="00B81C02"/>
    <w:rsid w:val="00B8216D"/>
    <w:rsid w:val="00B83AAE"/>
    <w:rsid w:val="00B84600"/>
    <w:rsid w:val="00B84DB1"/>
    <w:rsid w:val="00B85145"/>
    <w:rsid w:val="00B853E6"/>
    <w:rsid w:val="00B85BE6"/>
    <w:rsid w:val="00B85CE8"/>
    <w:rsid w:val="00B85EE3"/>
    <w:rsid w:val="00B87187"/>
    <w:rsid w:val="00B87534"/>
    <w:rsid w:val="00B90D3E"/>
    <w:rsid w:val="00B90D86"/>
    <w:rsid w:val="00B9223F"/>
    <w:rsid w:val="00B93020"/>
    <w:rsid w:val="00B93689"/>
    <w:rsid w:val="00B93989"/>
    <w:rsid w:val="00B93DD0"/>
    <w:rsid w:val="00B943A4"/>
    <w:rsid w:val="00B94BF9"/>
    <w:rsid w:val="00B967DD"/>
    <w:rsid w:val="00B96DDE"/>
    <w:rsid w:val="00B96E48"/>
    <w:rsid w:val="00B97A3B"/>
    <w:rsid w:val="00BA03FB"/>
    <w:rsid w:val="00BA0860"/>
    <w:rsid w:val="00BA0E34"/>
    <w:rsid w:val="00BA121A"/>
    <w:rsid w:val="00BA14DE"/>
    <w:rsid w:val="00BA212C"/>
    <w:rsid w:val="00BA25A5"/>
    <w:rsid w:val="00BA2CE3"/>
    <w:rsid w:val="00BA4627"/>
    <w:rsid w:val="00BA476E"/>
    <w:rsid w:val="00BA53A3"/>
    <w:rsid w:val="00BA563E"/>
    <w:rsid w:val="00BA5DB2"/>
    <w:rsid w:val="00BA62DD"/>
    <w:rsid w:val="00BA6382"/>
    <w:rsid w:val="00BA6E5E"/>
    <w:rsid w:val="00BA7AC6"/>
    <w:rsid w:val="00BB007B"/>
    <w:rsid w:val="00BB0C44"/>
    <w:rsid w:val="00BB2052"/>
    <w:rsid w:val="00BB4037"/>
    <w:rsid w:val="00BB50C6"/>
    <w:rsid w:val="00BB5D2F"/>
    <w:rsid w:val="00BB5DA6"/>
    <w:rsid w:val="00BB6734"/>
    <w:rsid w:val="00BB68D1"/>
    <w:rsid w:val="00BB6DC1"/>
    <w:rsid w:val="00BB7BE9"/>
    <w:rsid w:val="00BB7D73"/>
    <w:rsid w:val="00BC010D"/>
    <w:rsid w:val="00BC0999"/>
    <w:rsid w:val="00BC1D62"/>
    <w:rsid w:val="00BC2D37"/>
    <w:rsid w:val="00BC39B9"/>
    <w:rsid w:val="00BC4D83"/>
    <w:rsid w:val="00BC76A0"/>
    <w:rsid w:val="00BD0639"/>
    <w:rsid w:val="00BD1805"/>
    <w:rsid w:val="00BD1CE6"/>
    <w:rsid w:val="00BD2574"/>
    <w:rsid w:val="00BD29AA"/>
    <w:rsid w:val="00BD5963"/>
    <w:rsid w:val="00BE099C"/>
    <w:rsid w:val="00BE0CE0"/>
    <w:rsid w:val="00BE1F28"/>
    <w:rsid w:val="00BE2340"/>
    <w:rsid w:val="00BE265E"/>
    <w:rsid w:val="00BE3214"/>
    <w:rsid w:val="00BE6A53"/>
    <w:rsid w:val="00BE7FC6"/>
    <w:rsid w:val="00BF08AC"/>
    <w:rsid w:val="00BF12BA"/>
    <w:rsid w:val="00BF1512"/>
    <w:rsid w:val="00BF17D2"/>
    <w:rsid w:val="00BF63DB"/>
    <w:rsid w:val="00BF69ED"/>
    <w:rsid w:val="00BF6B72"/>
    <w:rsid w:val="00BF78CF"/>
    <w:rsid w:val="00C01F14"/>
    <w:rsid w:val="00C048F7"/>
    <w:rsid w:val="00C061FC"/>
    <w:rsid w:val="00C0658C"/>
    <w:rsid w:val="00C06FDE"/>
    <w:rsid w:val="00C07B0B"/>
    <w:rsid w:val="00C07CEF"/>
    <w:rsid w:val="00C10721"/>
    <w:rsid w:val="00C10B8A"/>
    <w:rsid w:val="00C117A7"/>
    <w:rsid w:val="00C11B26"/>
    <w:rsid w:val="00C11E53"/>
    <w:rsid w:val="00C12A0F"/>
    <w:rsid w:val="00C15197"/>
    <w:rsid w:val="00C15329"/>
    <w:rsid w:val="00C154B3"/>
    <w:rsid w:val="00C15B53"/>
    <w:rsid w:val="00C15DD9"/>
    <w:rsid w:val="00C160E6"/>
    <w:rsid w:val="00C16200"/>
    <w:rsid w:val="00C164AB"/>
    <w:rsid w:val="00C168CB"/>
    <w:rsid w:val="00C16D6F"/>
    <w:rsid w:val="00C17373"/>
    <w:rsid w:val="00C173D9"/>
    <w:rsid w:val="00C17668"/>
    <w:rsid w:val="00C17B13"/>
    <w:rsid w:val="00C201C3"/>
    <w:rsid w:val="00C2045C"/>
    <w:rsid w:val="00C211E6"/>
    <w:rsid w:val="00C2261C"/>
    <w:rsid w:val="00C24C32"/>
    <w:rsid w:val="00C26FF3"/>
    <w:rsid w:val="00C308C7"/>
    <w:rsid w:val="00C30F4C"/>
    <w:rsid w:val="00C321ED"/>
    <w:rsid w:val="00C325D7"/>
    <w:rsid w:val="00C32F03"/>
    <w:rsid w:val="00C3352B"/>
    <w:rsid w:val="00C34C07"/>
    <w:rsid w:val="00C34FB4"/>
    <w:rsid w:val="00C364F6"/>
    <w:rsid w:val="00C37C68"/>
    <w:rsid w:val="00C40298"/>
    <w:rsid w:val="00C4134F"/>
    <w:rsid w:val="00C4183A"/>
    <w:rsid w:val="00C42A79"/>
    <w:rsid w:val="00C42D6A"/>
    <w:rsid w:val="00C431FF"/>
    <w:rsid w:val="00C438A4"/>
    <w:rsid w:val="00C47987"/>
    <w:rsid w:val="00C51965"/>
    <w:rsid w:val="00C51A95"/>
    <w:rsid w:val="00C51D55"/>
    <w:rsid w:val="00C5246D"/>
    <w:rsid w:val="00C52737"/>
    <w:rsid w:val="00C53280"/>
    <w:rsid w:val="00C5614F"/>
    <w:rsid w:val="00C5660E"/>
    <w:rsid w:val="00C56E98"/>
    <w:rsid w:val="00C57200"/>
    <w:rsid w:val="00C57AD9"/>
    <w:rsid w:val="00C609A1"/>
    <w:rsid w:val="00C61174"/>
    <w:rsid w:val="00C61FA6"/>
    <w:rsid w:val="00C642E4"/>
    <w:rsid w:val="00C65B64"/>
    <w:rsid w:val="00C661CC"/>
    <w:rsid w:val="00C66B93"/>
    <w:rsid w:val="00C7072D"/>
    <w:rsid w:val="00C7124D"/>
    <w:rsid w:val="00C713B0"/>
    <w:rsid w:val="00C741DB"/>
    <w:rsid w:val="00C748EF"/>
    <w:rsid w:val="00C7691B"/>
    <w:rsid w:val="00C7782B"/>
    <w:rsid w:val="00C77E99"/>
    <w:rsid w:val="00C80117"/>
    <w:rsid w:val="00C80990"/>
    <w:rsid w:val="00C80B56"/>
    <w:rsid w:val="00C81A21"/>
    <w:rsid w:val="00C81C2F"/>
    <w:rsid w:val="00C821B5"/>
    <w:rsid w:val="00C83629"/>
    <w:rsid w:val="00C840F4"/>
    <w:rsid w:val="00C85225"/>
    <w:rsid w:val="00C85A85"/>
    <w:rsid w:val="00C860C0"/>
    <w:rsid w:val="00C8727E"/>
    <w:rsid w:val="00C904DC"/>
    <w:rsid w:val="00C90C77"/>
    <w:rsid w:val="00C919B0"/>
    <w:rsid w:val="00C91A1F"/>
    <w:rsid w:val="00C9313B"/>
    <w:rsid w:val="00C939D9"/>
    <w:rsid w:val="00C93F58"/>
    <w:rsid w:val="00C94560"/>
    <w:rsid w:val="00C945FA"/>
    <w:rsid w:val="00C94F15"/>
    <w:rsid w:val="00C952E7"/>
    <w:rsid w:val="00C96CC9"/>
    <w:rsid w:val="00C9750E"/>
    <w:rsid w:val="00C9763C"/>
    <w:rsid w:val="00CA049E"/>
    <w:rsid w:val="00CA36B0"/>
    <w:rsid w:val="00CA3C66"/>
    <w:rsid w:val="00CA420F"/>
    <w:rsid w:val="00CA4847"/>
    <w:rsid w:val="00CA4884"/>
    <w:rsid w:val="00CA4D74"/>
    <w:rsid w:val="00CA4F43"/>
    <w:rsid w:val="00CA6F26"/>
    <w:rsid w:val="00CB1F4E"/>
    <w:rsid w:val="00CB1F8E"/>
    <w:rsid w:val="00CB30B5"/>
    <w:rsid w:val="00CB47B3"/>
    <w:rsid w:val="00CB4EB5"/>
    <w:rsid w:val="00CB77D8"/>
    <w:rsid w:val="00CB7A06"/>
    <w:rsid w:val="00CC2632"/>
    <w:rsid w:val="00CC3E3B"/>
    <w:rsid w:val="00CC3E79"/>
    <w:rsid w:val="00CC4B6E"/>
    <w:rsid w:val="00CC53BB"/>
    <w:rsid w:val="00CC594F"/>
    <w:rsid w:val="00CC611F"/>
    <w:rsid w:val="00CC622E"/>
    <w:rsid w:val="00CC6478"/>
    <w:rsid w:val="00CD0831"/>
    <w:rsid w:val="00CD08A8"/>
    <w:rsid w:val="00CD171B"/>
    <w:rsid w:val="00CD1D37"/>
    <w:rsid w:val="00CD2095"/>
    <w:rsid w:val="00CD22FC"/>
    <w:rsid w:val="00CD2F3D"/>
    <w:rsid w:val="00CD3779"/>
    <w:rsid w:val="00CD4101"/>
    <w:rsid w:val="00CD57B1"/>
    <w:rsid w:val="00CD5A6A"/>
    <w:rsid w:val="00CD6E6F"/>
    <w:rsid w:val="00CD6F1C"/>
    <w:rsid w:val="00CE0F83"/>
    <w:rsid w:val="00CE1453"/>
    <w:rsid w:val="00CE17C9"/>
    <w:rsid w:val="00CE228A"/>
    <w:rsid w:val="00CE229E"/>
    <w:rsid w:val="00CE2A6F"/>
    <w:rsid w:val="00CE498A"/>
    <w:rsid w:val="00CE4DE5"/>
    <w:rsid w:val="00CE5280"/>
    <w:rsid w:val="00CE5695"/>
    <w:rsid w:val="00CE6304"/>
    <w:rsid w:val="00CE6A0C"/>
    <w:rsid w:val="00CF16D1"/>
    <w:rsid w:val="00CF1E26"/>
    <w:rsid w:val="00CF51E0"/>
    <w:rsid w:val="00CF5ECE"/>
    <w:rsid w:val="00CF5EF3"/>
    <w:rsid w:val="00CF6F1B"/>
    <w:rsid w:val="00CF74E6"/>
    <w:rsid w:val="00CF7CE6"/>
    <w:rsid w:val="00D006CE"/>
    <w:rsid w:val="00D011AE"/>
    <w:rsid w:val="00D01A33"/>
    <w:rsid w:val="00D02D83"/>
    <w:rsid w:val="00D0397F"/>
    <w:rsid w:val="00D047E2"/>
    <w:rsid w:val="00D0549E"/>
    <w:rsid w:val="00D06CB3"/>
    <w:rsid w:val="00D07A50"/>
    <w:rsid w:val="00D10FA8"/>
    <w:rsid w:val="00D11FC0"/>
    <w:rsid w:val="00D121A7"/>
    <w:rsid w:val="00D123E2"/>
    <w:rsid w:val="00D1390C"/>
    <w:rsid w:val="00D1402F"/>
    <w:rsid w:val="00D14C74"/>
    <w:rsid w:val="00D17333"/>
    <w:rsid w:val="00D1733E"/>
    <w:rsid w:val="00D17627"/>
    <w:rsid w:val="00D21FF5"/>
    <w:rsid w:val="00D22437"/>
    <w:rsid w:val="00D242EB"/>
    <w:rsid w:val="00D2442B"/>
    <w:rsid w:val="00D25031"/>
    <w:rsid w:val="00D27B3C"/>
    <w:rsid w:val="00D32436"/>
    <w:rsid w:val="00D3264A"/>
    <w:rsid w:val="00D327B3"/>
    <w:rsid w:val="00D329AE"/>
    <w:rsid w:val="00D33DC2"/>
    <w:rsid w:val="00D4158A"/>
    <w:rsid w:val="00D41CDA"/>
    <w:rsid w:val="00D428AB"/>
    <w:rsid w:val="00D42D97"/>
    <w:rsid w:val="00D43254"/>
    <w:rsid w:val="00D469DE"/>
    <w:rsid w:val="00D46A51"/>
    <w:rsid w:val="00D503AB"/>
    <w:rsid w:val="00D5169D"/>
    <w:rsid w:val="00D52365"/>
    <w:rsid w:val="00D54361"/>
    <w:rsid w:val="00D557EE"/>
    <w:rsid w:val="00D55CB7"/>
    <w:rsid w:val="00D56183"/>
    <w:rsid w:val="00D60710"/>
    <w:rsid w:val="00D61C6A"/>
    <w:rsid w:val="00D62EF5"/>
    <w:rsid w:val="00D639F5"/>
    <w:rsid w:val="00D64438"/>
    <w:rsid w:val="00D644CD"/>
    <w:rsid w:val="00D645FF"/>
    <w:rsid w:val="00D657A5"/>
    <w:rsid w:val="00D65F6D"/>
    <w:rsid w:val="00D67DBA"/>
    <w:rsid w:val="00D70F5E"/>
    <w:rsid w:val="00D721C0"/>
    <w:rsid w:val="00D729DD"/>
    <w:rsid w:val="00D749E4"/>
    <w:rsid w:val="00D77568"/>
    <w:rsid w:val="00D7760D"/>
    <w:rsid w:val="00D80B5D"/>
    <w:rsid w:val="00D82FCD"/>
    <w:rsid w:val="00D83654"/>
    <w:rsid w:val="00D8533B"/>
    <w:rsid w:val="00D8557A"/>
    <w:rsid w:val="00D85ACA"/>
    <w:rsid w:val="00D86467"/>
    <w:rsid w:val="00D870BC"/>
    <w:rsid w:val="00D9064E"/>
    <w:rsid w:val="00D9065F"/>
    <w:rsid w:val="00D93146"/>
    <w:rsid w:val="00D93796"/>
    <w:rsid w:val="00D93E54"/>
    <w:rsid w:val="00D94ADD"/>
    <w:rsid w:val="00D95DA0"/>
    <w:rsid w:val="00D965F0"/>
    <w:rsid w:val="00D97634"/>
    <w:rsid w:val="00D97D1B"/>
    <w:rsid w:val="00DA14BD"/>
    <w:rsid w:val="00DA339B"/>
    <w:rsid w:val="00DA3459"/>
    <w:rsid w:val="00DA3B32"/>
    <w:rsid w:val="00DA4E33"/>
    <w:rsid w:val="00DA4EC5"/>
    <w:rsid w:val="00DA5683"/>
    <w:rsid w:val="00DA62DB"/>
    <w:rsid w:val="00DA676C"/>
    <w:rsid w:val="00DA7DC2"/>
    <w:rsid w:val="00DB37F4"/>
    <w:rsid w:val="00DC0175"/>
    <w:rsid w:val="00DC09F0"/>
    <w:rsid w:val="00DC0C67"/>
    <w:rsid w:val="00DC4079"/>
    <w:rsid w:val="00DC41FB"/>
    <w:rsid w:val="00DC47F5"/>
    <w:rsid w:val="00DC4926"/>
    <w:rsid w:val="00DC4FA4"/>
    <w:rsid w:val="00DC53DC"/>
    <w:rsid w:val="00DC5E29"/>
    <w:rsid w:val="00DD101C"/>
    <w:rsid w:val="00DD103F"/>
    <w:rsid w:val="00DD1227"/>
    <w:rsid w:val="00DD20B5"/>
    <w:rsid w:val="00DD3552"/>
    <w:rsid w:val="00DD36C7"/>
    <w:rsid w:val="00DD389F"/>
    <w:rsid w:val="00DD55CE"/>
    <w:rsid w:val="00DD6AB2"/>
    <w:rsid w:val="00DD7720"/>
    <w:rsid w:val="00DD7737"/>
    <w:rsid w:val="00DE1DFA"/>
    <w:rsid w:val="00DE3FA5"/>
    <w:rsid w:val="00DE439C"/>
    <w:rsid w:val="00DE439F"/>
    <w:rsid w:val="00DE71E3"/>
    <w:rsid w:val="00DF0000"/>
    <w:rsid w:val="00DF1148"/>
    <w:rsid w:val="00DF2B2D"/>
    <w:rsid w:val="00DF2F3D"/>
    <w:rsid w:val="00DF3DF3"/>
    <w:rsid w:val="00DF47C9"/>
    <w:rsid w:val="00DF6C59"/>
    <w:rsid w:val="00DF743D"/>
    <w:rsid w:val="00DF76D5"/>
    <w:rsid w:val="00E01092"/>
    <w:rsid w:val="00E01BF3"/>
    <w:rsid w:val="00E0275B"/>
    <w:rsid w:val="00E03719"/>
    <w:rsid w:val="00E04389"/>
    <w:rsid w:val="00E05464"/>
    <w:rsid w:val="00E05EDB"/>
    <w:rsid w:val="00E05FA8"/>
    <w:rsid w:val="00E06677"/>
    <w:rsid w:val="00E071E4"/>
    <w:rsid w:val="00E10027"/>
    <w:rsid w:val="00E1054E"/>
    <w:rsid w:val="00E105D5"/>
    <w:rsid w:val="00E10A39"/>
    <w:rsid w:val="00E1182A"/>
    <w:rsid w:val="00E13205"/>
    <w:rsid w:val="00E15545"/>
    <w:rsid w:val="00E15C32"/>
    <w:rsid w:val="00E16918"/>
    <w:rsid w:val="00E16929"/>
    <w:rsid w:val="00E174BC"/>
    <w:rsid w:val="00E20137"/>
    <w:rsid w:val="00E23D3E"/>
    <w:rsid w:val="00E24A49"/>
    <w:rsid w:val="00E24DE6"/>
    <w:rsid w:val="00E25235"/>
    <w:rsid w:val="00E265A5"/>
    <w:rsid w:val="00E26626"/>
    <w:rsid w:val="00E26FE8"/>
    <w:rsid w:val="00E30B3C"/>
    <w:rsid w:val="00E3193B"/>
    <w:rsid w:val="00E32AA0"/>
    <w:rsid w:val="00E32EE3"/>
    <w:rsid w:val="00E33D51"/>
    <w:rsid w:val="00E342E6"/>
    <w:rsid w:val="00E347AB"/>
    <w:rsid w:val="00E351CE"/>
    <w:rsid w:val="00E353BD"/>
    <w:rsid w:val="00E36000"/>
    <w:rsid w:val="00E37767"/>
    <w:rsid w:val="00E37822"/>
    <w:rsid w:val="00E400C9"/>
    <w:rsid w:val="00E40D52"/>
    <w:rsid w:val="00E40E3C"/>
    <w:rsid w:val="00E41471"/>
    <w:rsid w:val="00E41F56"/>
    <w:rsid w:val="00E4250E"/>
    <w:rsid w:val="00E42790"/>
    <w:rsid w:val="00E43F1D"/>
    <w:rsid w:val="00E44388"/>
    <w:rsid w:val="00E45250"/>
    <w:rsid w:val="00E45915"/>
    <w:rsid w:val="00E47B90"/>
    <w:rsid w:val="00E5034B"/>
    <w:rsid w:val="00E50651"/>
    <w:rsid w:val="00E50CCA"/>
    <w:rsid w:val="00E50E38"/>
    <w:rsid w:val="00E512AF"/>
    <w:rsid w:val="00E5191B"/>
    <w:rsid w:val="00E53717"/>
    <w:rsid w:val="00E55DE1"/>
    <w:rsid w:val="00E5642C"/>
    <w:rsid w:val="00E56BD3"/>
    <w:rsid w:val="00E57DC7"/>
    <w:rsid w:val="00E625CC"/>
    <w:rsid w:val="00E6267E"/>
    <w:rsid w:val="00E62DBD"/>
    <w:rsid w:val="00E63149"/>
    <w:rsid w:val="00E644C4"/>
    <w:rsid w:val="00E64FED"/>
    <w:rsid w:val="00E710E5"/>
    <w:rsid w:val="00E72030"/>
    <w:rsid w:val="00E72908"/>
    <w:rsid w:val="00E72B77"/>
    <w:rsid w:val="00E73CAF"/>
    <w:rsid w:val="00E74E6F"/>
    <w:rsid w:val="00E7589A"/>
    <w:rsid w:val="00E76397"/>
    <w:rsid w:val="00E76A84"/>
    <w:rsid w:val="00E76D84"/>
    <w:rsid w:val="00E773C0"/>
    <w:rsid w:val="00E8052C"/>
    <w:rsid w:val="00E8289D"/>
    <w:rsid w:val="00E845EA"/>
    <w:rsid w:val="00E8502C"/>
    <w:rsid w:val="00E850B3"/>
    <w:rsid w:val="00E86283"/>
    <w:rsid w:val="00E863A4"/>
    <w:rsid w:val="00E877F5"/>
    <w:rsid w:val="00E904D6"/>
    <w:rsid w:val="00E92023"/>
    <w:rsid w:val="00E936AE"/>
    <w:rsid w:val="00E94F1B"/>
    <w:rsid w:val="00E951A3"/>
    <w:rsid w:val="00E96B22"/>
    <w:rsid w:val="00E97142"/>
    <w:rsid w:val="00EA0878"/>
    <w:rsid w:val="00EA0911"/>
    <w:rsid w:val="00EA22DC"/>
    <w:rsid w:val="00EA5041"/>
    <w:rsid w:val="00EA53E2"/>
    <w:rsid w:val="00EB168E"/>
    <w:rsid w:val="00EB2248"/>
    <w:rsid w:val="00EB3592"/>
    <w:rsid w:val="00EB4C64"/>
    <w:rsid w:val="00EB7171"/>
    <w:rsid w:val="00EB7951"/>
    <w:rsid w:val="00EC29CA"/>
    <w:rsid w:val="00EC2BE8"/>
    <w:rsid w:val="00EC2E2D"/>
    <w:rsid w:val="00EC3724"/>
    <w:rsid w:val="00EC3B3B"/>
    <w:rsid w:val="00EC4C15"/>
    <w:rsid w:val="00EC5610"/>
    <w:rsid w:val="00EC69AE"/>
    <w:rsid w:val="00EC7846"/>
    <w:rsid w:val="00EC79DB"/>
    <w:rsid w:val="00EC7EAD"/>
    <w:rsid w:val="00ED0077"/>
    <w:rsid w:val="00ED060A"/>
    <w:rsid w:val="00ED0C73"/>
    <w:rsid w:val="00ED0E3A"/>
    <w:rsid w:val="00ED24C4"/>
    <w:rsid w:val="00ED328A"/>
    <w:rsid w:val="00ED517F"/>
    <w:rsid w:val="00ED5AB2"/>
    <w:rsid w:val="00ED63BE"/>
    <w:rsid w:val="00ED67F6"/>
    <w:rsid w:val="00ED6A49"/>
    <w:rsid w:val="00ED6BA3"/>
    <w:rsid w:val="00ED70DD"/>
    <w:rsid w:val="00EE0CF7"/>
    <w:rsid w:val="00EE4047"/>
    <w:rsid w:val="00EE43A1"/>
    <w:rsid w:val="00EE622A"/>
    <w:rsid w:val="00EE6C21"/>
    <w:rsid w:val="00EE748D"/>
    <w:rsid w:val="00EF1AE1"/>
    <w:rsid w:val="00EF21C3"/>
    <w:rsid w:val="00EF2545"/>
    <w:rsid w:val="00EF2AAC"/>
    <w:rsid w:val="00EF312A"/>
    <w:rsid w:val="00EF6590"/>
    <w:rsid w:val="00EF7299"/>
    <w:rsid w:val="00EF7C91"/>
    <w:rsid w:val="00F00392"/>
    <w:rsid w:val="00F00A5C"/>
    <w:rsid w:val="00F026DE"/>
    <w:rsid w:val="00F030C7"/>
    <w:rsid w:val="00F1156A"/>
    <w:rsid w:val="00F1157C"/>
    <w:rsid w:val="00F11A51"/>
    <w:rsid w:val="00F130E3"/>
    <w:rsid w:val="00F13E1A"/>
    <w:rsid w:val="00F14073"/>
    <w:rsid w:val="00F14539"/>
    <w:rsid w:val="00F14B47"/>
    <w:rsid w:val="00F15714"/>
    <w:rsid w:val="00F15EAD"/>
    <w:rsid w:val="00F16578"/>
    <w:rsid w:val="00F165F2"/>
    <w:rsid w:val="00F17301"/>
    <w:rsid w:val="00F1736C"/>
    <w:rsid w:val="00F17DF3"/>
    <w:rsid w:val="00F22002"/>
    <w:rsid w:val="00F23C8D"/>
    <w:rsid w:val="00F23E2D"/>
    <w:rsid w:val="00F23EE5"/>
    <w:rsid w:val="00F25E0C"/>
    <w:rsid w:val="00F26CAB"/>
    <w:rsid w:val="00F27C70"/>
    <w:rsid w:val="00F3033A"/>
    <w:rsid w:val="00F30D5B"/>
    <w:rsid w:val="00F32199"/>
    <w:rsid w:val="00F32650"/>
    <w:rsid w:val="00F329A9"/>
    <w:rsid w:val="00F329C1"/>
    <w:rsid w:val="00F340B8"/>
    <w:rsid w:val="00F34572"/>
    <w:rsid w:val="00F34DE9"/>
    <w:rsid w:val="00F3504B"/>
    <w:rsid w:val="00F365DE"/>
    <w:rsid w:val="00F37933"/>
    <w:rsid w:val="00F37CF8"/>
    <w:rsid w:val="00F4112B"/>
    <w:rsid w:val="00F4458A"/>
    <w:rsid w:val="00F44667"/>
    <w:rsid w:val="00F4499B"/>
    <w:rsid w:val="00F4576B"/>
    <w:rsid w:val="00F47088"/>
    <w:rsid w:val="00F478B7"/>
    <w:rsid w:val="00F47C10"/>
    <w:rsid w:val="00F510D5"/>
    <w:rsid w:val="00F51677"/>
    <w:rsid w:val="00F51A0F"/>
    <w:rsid w:val="00F52ED5"/>
    <w:rsid w:val="00F535D3"/>
    <w:rsid w:val="00F53D09"/>
    <w:rsid w:val="00F55E9F"/>
    <w:rsid w:val="00F560A1"/>
    <w:rsid w:val="00F5631F"/>
    <w:rsid w:val="00F605FC"/>
    <w:rsid w:val="00F6079D"/>
    <w:rsid w:val="00F61FE3"/>
    <w:rsid w:val="00F657E2"/>
    <w:rsid w:val="00F66757"/>
    <w:rsid w:val="00F668B6"/>
    <w:rsid w:val="00F66DF8"/>
    <w:rsid w:val="00F67026"/>
    <w:rsid w:val="00F670E4"/>
    <w:rsid w:val="00F67A15"/>
    <w:rsid w:val="00F71442"/>
    <w:rsid w:val="00F7392F"/>
    <w:rsid w:val="00F73D90"/>
    <w:rsid w:val="00F7542E"/>
    <w:rsid w:val="00F75C97"/>
    <w:rsid w:val="00F75E49"/>
    <w:rsid w:val="00F76A4F"/>
    <w:rsid w:val="00F77D01"/>
    <w:rsid w:val="00F80352"/>
    <w:rsid w:val="00F81F77"/>
    <w:rsid w:val="00F8236F"/>
    <w:rsid w:val="00F83B34"/>
    <w:rsid w:val="00F8436D"/>
    <w:rsid w:val="00F855A4"/>
    <w:rsid w:val="00F875A6"/>
    <w:rsid w:val="00F8781F"/>
    <w:rsid w:val="00F87EF5"/>
    <w:rsid w:val="00F9075C"/>
    <w:rsid w:val="00F91833"/>
    <w:rsid w:val="00F91CDF"/>
    <w:rsid w:val="00F92935"/>
    <w:rsid w:val="00F940E1"/>
    <w:rsid w:val="00F943F0"/>
    <w:rsid w:val="00F95ABD"/>
    <w:rsid w:val="00F966ED"/>
    <w:rsid w:val="00FA12D2"/>
    <w:rsid w:val="00FA353D"/>
    <w:rsid w:val="00FA4417"/>
    <w:rsid w:val="00FA5B19"/>
    <w:rsid w:val="00FA5DB7"/>
    <w:rsid w:val="00FA6F76"/>
    <w:rsid w:val="00FA7C56"/>
    <w:rsid w:val="00FB0FF6"/>
    <w:rsid w:val="00FB1D0A"/>
    <w:rsid w:val="00FB5019"/>
    <w:rsid w:val="00FB69BA"/>
    <w:rsid w:val="00FB6CF1"/>
    <w:rsid w:val="00FB752F"/>
    <w:rsid w:val="00FC1FE9"/>
    <w:rsid w:val="00FC2D91"/>
    <w:rsid w:val="00FC3392"/>
    <w:rsid w:val="00FC4ED4"/>
    <w:rsid w:val="00FC5726"/>
    <w:rsid w:val="00FC5D4E"/>
    <w:rsid w:val="00FC725E"/>
    <w:rsid w:val="00FC7889"/>
    <w:rsid w:val="00FD2068"/>
    <w:rsid w:val="00FD3BAC"/>
    <w:rsid w:val="00FD606E"/>
    <w:rsid w:val="00FD794F"/>
    <w:rsid w:val="00FE1631"/>
    <w:rsid w:val="00FE2A3B"/>
    <w:rsid w:val="00FE4E3C"/>
    <w:rsid w:val="00FE57A2"/>
    <w:rsid w:val="00FE5DAA"/>
    <w:rsid w:val="00FE60F6"/>
    <w:rsid w:val="00FE6203"/>
    <w:rsid w:val="00FE65CA"/>
    <w:rsid w:val="00FE7AD5"/>
    <w:rsid w:val="00FF058E"/>
    <w:rsid w:val="00FF0FF1"/>
    <w:rsid w:val="00FF1302"/>
    <w:rsid w:val="00FF20CF"/>
    <w:rsid w:val="00FF3DFB"/>
    <w:rsid w:val="00FF3E6F"/>
    <w:rsid w:val="00FF488E"/>
    <w:rsid w:val="00FF4FAF"/>
    <w:rsid w:val="00FF58B1"/>
    <w:rsid w:val="00FF62CA"/>
    <w:rsid w:val="00FF688C"/>
    <w:rsid w:val="00FF6E1C"/>
    <w:rsid w:val="00FF6E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15C595F"/>
  <w15:docId w15:val="{B35DC36E-EECF-418B-934D-5598D610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Verdana"/>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cs="Times New Roman"/>
      <w:lang w:eastAsia="fi-FI"/>
    </w:rPr>
  </w:style>
  <w:style w:type="paragraph" w:styleId="Heading1">
    <w:name w:val="heading 1"/>
    <w:aliases w:val="ECHA Heading 1"/>
    <w:basedOn w:val="Normal"/>
    <w:next w:val="BodyText"/>
    <w:link w:val="Heading1Char"/>
    <w:qFormat/>
    <w:pPr>
      <w:keepNext/>
      <w:keepLines/>
      <w:numPr>
        <w:numId w:val="1"/>
      </w:numPr>
      <w:spacing w:after="240"/>
      <w:outlineLvl w:val="0"/>
    </w:pPr>
    <w:rPr>
      <w:b/>
      <w:color w:val="0046AD"/>
      <w:sz w:val="28"/>
      <w:szCs w:val="24"/>
    </w:rPr>
  </w:style>
  <w:style w:type="paragraph" w:styleId="Heading2">
    <w:name w:val="heading 2"/>
    <w:aliases w:val="ECHA Heading 2"/>
    <w:basedOn w:val="Heading1"/>
    <w:next w:val="BodyText"/>
    <w:link w:val="Heading2Char"/>
    <w:qFormat/>
    <w:pPr>
      <w:numPr>
        <w:numId w:val="0"/>
      </w:numPr>
      <w:outlineLvl w:val="1"/>
    </w:pPr>
    <w:rPr>
      <w:rFonts w:cs="Arial"/>
      <w:sz w:val="24"/>
      <w:szCs w:val="22"/>
    </w:rPr>
  </w:style>
  <w:style w:type="paragraph" w:styleId="Heading3">
    <w:name w:val="heading 3"/>
    <w:aliases w:val="ECHA Heading 3"/>
    <w:basedOn w:val="Heading2"/>
    <w:next w:val="BodyText"/>
    <w:link w:val="Heading3Char"/>
    <w:qFormat/>
    <w:pPr>
      <w:numPr>
        <w:ilvl w:val="2"/>
        <w:numId w:val="1"/>
      </w:numPr>
      <w:outlineLvl w:val="2"/>
    </w:pPr>
    <w:rPr>
      <w:bCs/>
      <w:color w:val="000000"/>
      <w:sz w:val="22"/>
    </w:rPr>
  </w:style>
  <w:style w:type="paragraph" w:styleId="Heading4">
    <w:name w:val="heading 4"/>
    <w:aliases w:val="ECHA Heading 4"/>
    <w:basedOn w:val="Heading3"/>
    <w:next w:val="BodyText"/>
    <w:link w:val="Heading4Char"/>
    <w:qFormat/>
    <w:pPr>
      <w:numPr>
        <w:ilvl w:val="3"/>
      </w:numPr>
      <w:outlineLvl w:val="3"/>
    </w:pPr>
    <w:rPr>
      <w:b w:val="0"/>
      <w:bCs w:val="0"/>
      <w:szCs w:val="28"/>
    </w:rPr>
  </w:style>
  <w:style w:type="paragraph" w:styleId="Heading5">
    <w:name w:val="heading 5"/>
    <w:aliases w:val="ECHA Heading 5"/>
    <w:basedOn w:val="Heading3"/>
    <w:next w:val="BodyText"/>
    <w:link w:val="Heading5Char"/>
    <w:qFormat/>
    <w:pPr>
      <w:numPr>
        <w:ilvl w:val="4"/>
      </w:numPr>
      <w:outlineLvl w:val="4"/>
    </w:pPr>
    <w:rPr>
      <w:bCs w:val="0"/>
      <w:iCs/>
      <w:sz w:val="20"/>
      <w:szCs w:val="26"/>
    </w:rPr>
  </w:style>
  <w:style w:type="paragraph" w:styleId="Heading6">
    <w:name w:val="heading 6"/>
    <w:aliases w:val="ECHA Heading 6"/>
    <w:basedOn w:val="Heading5"/>
    <w:next w:val="BodyText"/>
    <w:link w:val="Heading6Char"/>
    <w:qFormat/>
    <w:pPr>
      <w:numPr>
        <w:ilvl w:val="5"/>
      </w:numPr>
      <w:outlineLvl w:val="5"/>
    </w:pPr>
    <w:rPr>
      <w:bCs/>
      <w:szCs w:val="22"/>
    </w:rPr>
  </w:style>
  <w:style w:type="paragraph" w:styleId="Heading7">
    <w:name w:val="heading 7"/>
    <w:aliases w:val="ECHA Heading 7"/>
    <w:basedOn w:val="Heading5"/>
    <w:next w:val="BodyText"/>
    <w:link w:val="Heading7Char"/>
    <w:qFormat/>
    <w:pPr>
      <w:numPr>
        <w:ilvl w:val="6"/>
      </w:numPr>
      <w:outlineLvl w:val="6"/>
    </w:pPr>
    <w:rPr>
      <w:szCs w:val="24"/>
    </w:rPr>
  </w:style>
  <w:style w:type="paragraph" w:styleId="Heading8">
    <w:name w:val="heading 8"/>
    <w:aliases w:val="ECHA Heading 8"/>
    <w:basedOn w:val="Heading5"/>
    <w:next w:val="BodyText"/>
    <w:link w:val="Heading8Char"/>
    <w:qFormat/>
    <w:pPr>
      <w:numPr>
        <w:ilvl w:val="7"/>
      </w:numPr>
      <w:outlineLvl w:val="7"/>
    </w:pPr>
    <w:rPr>
      <w:iCs w:val="0"/>
      <w:szCs w:val="24"/>
    </w:rPr>
  </w:style>
  <w:style w:type="paragraph" w:styleId="Heading9">
    <w:name w:val="heading 9"/>
    <w:aliases w:val="ECHA Heading 9"/>
    <w:basedOn w:val="Heading5"/>
    <w:next w:val="BodyText"/>
    <w:link w:val="Heading9Char"/>
    <w:qFormat/>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HA Heading 1 Char"/>
    <w:basedOn w:val="DefaultParagraphFont"/>
    <w:link w:val="Heading1"/>
    <w:locked/>
    <w:rPr>
      <w:rFonts w:cs="Times New Roman"/>
      <w:b/>
      <w:color w:val="0046AD"/>
      <w:sz w:val="28"/>
      <w:szCs w:val="24"/>
      <w:lang w:eastAsia="fi-FI"/>
    </w:rPr>
  </w:style>
  <w:style w:type="character" w:customStyle="1" w:styleId="Heading2Char">
    <w:name w:val="Heading 2 Char"/>
    <w:aliases w:val="ECHA Heading 2 Char"/>
    <w:basedOn w:val="DefaultParagraphFont"/>
    <w:link w:val="Heading2"/>
    <w:locked/>
    <w:rPr>
      <w:rFonts w:ascii="Cambria" w:hAnsi="Cambria"/>
      <w:b/>
      <w:i/>
      <w:sz w:val="28"/>
      <w:lang w:val="x-none" w:eastAsia="fi-FI"/>
    </w:rPr>
  </w:style>
  <w:style w:type="character" w:customStyle="1" w:styleId="Heading3Char">
    <w:name w:val="Heading 3 Char"/>
    <w:aliases w:val="ECHA Heading 3 Char"/>
    <w:basedOn w:val="DefaultParagraphFont"/>
    <w:link w:val="Heading3"/>
    <w:locked/>
    <w:rPr>
      <w:rFonts w:cs="Arial"/>
      <w:b/>
      <w:bCs/>
      <w:color w:val="000000"/>
      <w:sz w:val="22"/>
      <w:szCs w:val="22"/>
      <w:lang w:eastAsia="fi-FI"/>
    </w:rPr>
  </w:style>
  <w:style w:type="character" w:customStyle="1" w:styleId="Heading4Char">
    <w:name w:val="Heading 4 Char"/>
    <w:aliases w:val="ECHA Heading 4 Char"/>
    <w:basedOn w:val="DefaultParagraphFont"/>
    <w:link w:val="Heading4"/>
    <w:locked/>
    <w:rPr>
      <w:rFonts w:cs="Arial"/>
      <w:color w:val="000000"/>
      <w:sz w:val="22"/>
      <w:szCs w:val="28"/>
      <w:lang w:eastAsia="fi-FI"/>
    </w:rPr>
  </w:style>
  <w:style w:type="character" w:customStyle="1" w:styleId="Heading5Char">
    <w:name w:val="Heading 5 Char"/>
    <w:aliases w:val="ECHA Heading 5 Char"/>
    <w:basedOn w:val="DefaultParagraphFont"/>
    <w:link w:val="Heading5"/>
    <w:locked/>
    <w:rPr>
      <w:rFonts w:cs="Arial"/>
      <w:b/>
      <w:iCs/>
      <w:color w:val="000000"/>
      <w:szCs w:val="26"/>
      <w:lang w:eastAsia="fi-FI"/>
    </w:rPr>
  </w:style>
  <w:style w:type="character" w:customStyle="1" w:styleId="Heading6Char">
    <w:name w:val="Heading 6 Char"/>
    <w:aliases w:val="ECHA Heading 6 Char"/>
    <w:basedOn w:val="DefaultParagraphFont"/>
    <w:link w:val="Heading6"/>
    <w:locked/>
    <w:rPr>
      <w:rFonts w:cs="Arial"/>
      <w:b/>
      <w:bCs/>
      <w:iCs/>
      <w:color w:val="000000"/>
      <w:szCs w:val="22"/>
      <w:lang w:eastAsia="fi-FI"/>
    </w:rPr>
  </w:style>
  <w:style w:type="character" w:customStyle="1" w:styleId="Heading7Char">
    <w:name w:val="Heading 7 Char"/>
    <w:aliases w:val="ECHA Heading 7 Char"/>
    <w:basedOn w:val="DefaultParagraphFont"/>
    <w:link w:val="Heading7"/>
    <w:locked/>
    <w:rPr>
      <w:rFonts w:cs="Arial"/>
      <w:b/>
      <w:iCs/>
      <w:color w:val="000000"/>
      <w:szCs w:val="24"/>
      <w:lang w:eastAsia="fi-FI"/>
    </w:rPr>
  </w:style>
  <w:style w:type="character" w:customStyle="1" w:styleId="Heading8Char">
    <w:name w:val="Heading 8 Char"/>
    <w:aliases w:val="ECHA Heading 8 Char"/>
    <w:basedOn w:val="DefaultParagraphFont"/>
    <w:link w:val="Heading8"/>
    <w:locked/>
    <w:rPr>
      <w:rFonts w:cs="Arial"/>
      <w:b/>
      <w:color w:val="000000"/>
      <w:szCs w:val="24"/>
      <w:lang w:eastAsia="fi-FI"/>
    </w:rPr>
  </w:style>
  <w:style w:type="character" w:customStyle="1" w:styleId="Heading9Char">
    <w:name w:val="Heading 9 Char"/>
    <w:aliases w:val="ECHA Heading 9 Char"/>
    <w:basedOn w:val="DefaultParagraphFont"/>
    <w:link w:val="Heading9"/>
    <w:locked/>
    <w:rPr>
      <w:rFonts w:cs="Arial"/>
      <w:b/>
      <w:iCs/>
      <w:color w:val="000000"/>
      <w:szCs w:val="22"/>
      <w:lang w:eastAsia="fi-FI"/>
    </w:rPr>
  </w:style>
  <w:style w:type="paragraph" w:styleId="Header">
    <w:name w:val="header"/>
    <w:basedOn w:val="Normal"/>
    <w:link w:val="HeaderChar"/>
    <w:pPr>
      <w:tabs>
        <w:tab w:val="left" w:pos="4536"/>
        <w:tab w:val="left" w:pos="7088"/>
        <w:tab w:val="left" w:pos="8789"/>
      </w:tabs>
      <w:jc w:val="right"/>
    </w:pPr>
  </w:style>
  <w:style w:type="character" w:customStyle="1" w:styleId="HeaderChar">
    <w:name w:val="Header Char"/>
    <w:basedOn w:val="DefaultParagraphFont"/>
    <w:link w:val="Header"/>
    <w:locked/>
    <w:rPr>
      <w:lang w:val="x-none" w:eastAsia="fi-FI"/>
    </w:rPr>
  </w:style>
  <w:style w:type="paragraph" w:styleId="Footer">
    <w:name w:val="footer"/>
    <w:basedOn w:val="Normal"/>
    <w:link w:val="FooterChar"/>
    <w:uiPriority w:val="99"/>
    <w:pPr>
      <w:spacing w:line="160" w:lineRule="exact"/>
    </w:pPr>
    <w:rPr>
      <w:spacing w:val="2"/>
      <w:sz w:val="13"/>
    </w:rPr>
  </w:style>
  <w:style w:type="character" w:customStyle="1" w:styleId="FooterChar">
    <w:name w:val="Footer Char"/>
    <w:basedOn w:val="DefaultParagraphFont"/>
    <w:link w:val="Footer"/>
    <w:uiPriority w:val="99"/>
    <w:locked/>
    <w:rPr>
      <w:spacing w:val="2"/>
      <w:sz w:val="13"/>
      <w:lang w:val="x-none" w:eastAsia="fi-FI"/>
    </w:rPr>
  </w:style>
  <w:style w:type="character" w:styleId="PageNumber">
    <w:name w:val="page number"/>
    <w:basedOn w:val="DefaultParagraphFont"/>
    <w:uiPriority w:val="99"/>
    <w:rPr>
      <w:rFonts w:ascii="Verdana" w:hAnsi="Verdana"/>
      <w:sz w:val="20"/>
    </w:rPr>
  </w:style>
  <w:style w:type="character" w:customStyle="1" w:styleId="Italic">
    <w:name w:val="Italic"/>
    <w:rPr>
      <w:rFonts w:ascii="Verdana" w:hAnsi="Verdana"/>
      <w:i/>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x-none" w:eastAsia="fi-FI"/>
    </w:rPr>
  </w:style>
  <w:style w:type="paragraph" w:styleId="TOC1">
    <w:name w:val="toc 1"/>
    <w:basedOn w:val="Normal"/>
    <w:next w:val="Normal"/>
    <w:autoRedefine/>
    <w:uiPriority w:val="39"/>
    <w:pPr>
      <w:tabs>
        <w:tab w:val="right" w:leader="dot" w:pos="9629"/>
      </w:tabs>
      <w:spacing w:before="120" w:after="120"/>
    </w:pPr>
    <w:rPr>
      <w:rFonts w:ascii="Calibri" w:hAnsi="Calibri" w:cs="Calibri"/>
      <w:b/>
      <w:bCs/>
      <w:caps/>
    </w:rPr>
  </w:style>
  <w:style w:type="paragraph" w:styleId="TOC2">
    <w:name w:val="toc 2"/>
    <w:basedOn w:val="Normal"/>
    <w:next w:val="Normal"/>
    <w:autoRedefine/>
    <w:uiPriority w:val="39"/>
    <w:rsid w:val="003C0010"/>
    <w:pPr>
      <w:tabs>
        <w:tab w:val="right" w:leader="dot" w:pos="9629"/>
      </w:tabs>
      <w:ind w:left="567" w:hanging="367"/>
    </w:pPr>
    <w:rPr>
      <w:rFonts w:ascii="Calibri" w:hAnsi="Calibri" w:cs="Calibri"/>
    </w:rPr>
  </w:style>
  <w:style w:type="paragraph" w:styleId="TOC3">
    <w:name w:val="toc 3"/>
    <w:basedOn w:val="Normal"/>
    <w:next w:val="Normal"/>
    <w:autoRedefine/>
    <w:uiPriority w:val="39"/>
    <w:rsid w:val="00DA14BD"/>
    <w:pPr>
      <w:tabs>
        <w:tab w:val="right" w:leader="dot" w:pos="9017"/>
      </w:tabs>
      <w:ind w:left="400"/>
      <w:jc w:val="both"/>
    </w:pPr>
    <w:rPr>
      <w:rFonts w:ascii="Calibri" w:hAnsi="Calibri" w:cs="Calibri"/>
      <w:i/>
      <w:iCs/>
    </w:rPr>
  </w:style>
  <w:style w:type="character" w:styleId="Hyperlink">
    <w:name w:val="Hyperlink"/>
    <w:basedOn w:val="DefaultParagraphFont"/>
    <w:uiPriority w:val="99"/>
    <w:rPr>
      <w:rFonts w:ascii="Verdana" w:hAnsi="Verdana"/>
      <w:color w:val="0000FF"/>
      <w:sz w:val="20"/>
      <w:u w:val="single"/>
    </w:rPr>
  </w:style>
  <w:style w:type="paragraph" w:customStyle="1" w:styleId="Leipteksti1">
    <w:name w:val="Leipäteksti1"/>
    <w:basedOn w:val="Normal"/>
    <w:semiHidden/>
    <w:pPr>
      <w:ind w:left="2608"/>
    </w:pPr>
    <w:rPr>
      <w:szCs w:val="24"/>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lang w:val="x-none" w:eastAsia="fi-FI"/>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lang w:val="x-none" w:eastAsia="fi-FI"/>
    </w:rPr>
  </w:style>
  <w:style w:type="character" w:styleId="FollowedHyperlink">
    <w:name w:val="FollowedHyperlink"/>
    <w:aliases w:val="Hyperlink opened"/>
    <w:basedOn w:val="DefaultParagraphFont"/>
    <w:uiPriority w:val="99"/>
    <w:rPr>
      <w:rFonts w:ascii="Verdana" w:hAnsi="Verdana"/>
      <w:color w:val="800080"/>
      <w:sz w:val="20"/>
      <w:u w:val="single"/>
    </w:rPr>
  </w:style>
  <w:style w:type="paragraph" w:styleId="BodyText">
    <w:name w:val="Body Text"/>
    <w:aliases w:val="Text"/>
    <w:basedOn w:val="Normal"/>
    <w:link w:val="BodyTextChar"/>
    <w:uiPriority w:val="99"/>
    <w:pPr>
      <w:spacing w:after="240"/>
    </w:pPr>
  </w:style>
  <w:style w:type="character" w:customStyle="1" w:styleId="BodyTextChar">
    <w:name w:val="Body Text Char"/>
    <w:aliases w:val="Text Char"/>
    <w:basedOn w:val="DefaultParagraphFont"/>
    <w:link w:val="BodyText"/>
    <w:uiPriority w:val="99"/>
    <w:locked/>
    <w:rsid w:val="006358C1"/>
    <w:rPr>
      <w:lang w:val="x-none" w:eastAsia="fi-FI"/>
    </w:rPr>
  </w:style>
  <w:style w:type="paragraph" w:styleId="BodyTextFirstIndent">
    <w:name w:val="Body Text First Indent"/>
    <w:basedOn w:val="BodyText"/>
    <w:link w:val="BodyTextFirstIndentChar"/>
    <w:uiPriority w:val="99"/>
    <w:semiHidden/>
    <w:pPr>
      <w:spacing w:after="120"/>
      <w:ind w:firstLine="210"/>
    </w:pPr>
  </w:style>
  <w:style w:type="character" w:customStyle="1" w:styleId="BodyTextFirstIndentChar">
    <w:name w:val="Body Text First Indent Char"/>
    <w:basedOn w:val="BodyTextChar"/>
    <w:link w:val="BodyTextFirstIndent"/>
    <w:uiPriority w:val="99"/>
    <w:semiHidden/>
    <w:locked/>
    <w:rPr>
      <w:lang w:val="x-none" w:eastAsia="fi-FI"/>
    </w:rPr>
  </w:style>
  <w:style w:type="character" w:customStyle="1" w:styleId="Bold">
    <w:name w:val="Bold"/>
    <w:rPr>
      <w:rFonts w:ascii="Verdana" w:hAnsi="Verdana"/>
      <w:b/>
      <w:sz w:val="20"/>
    </w:rPr>
  </w:style>
  <w:style w:type="paragraph" w:customStyle="1" w:styleId="BulletedList1-usermanual">
    <w:name w:val="Bulleted List 1 - user manual"/>
    <w:basedOn w:val="Normal"/>
    <w:pPr>
      <w:numPr>
        <w:numId w:val="4"/>
      </w:numPr>
      <w:spacing w:line="360" w:lineRule="auto"/>
    </w:pPr>
  </w:style>
  <w:style w:type="paragraph" w:styleId="Title">
    <w:name w:val="Title"/>
    <w:aliases w:val="ECHA Heading"/>
    <w:basedOn w:val="Heading1"/>
    <w:next w:val="BodyText"/>
    <w:link w:val="TitleChar"/>
    <w:qFormat/>
    <w:rPr>
      <w:rFonts w:cs="Arial"/>
      <w:bCs/>
      <w:szCs w:val="32"/>
    </w:rPr>
  </w:style>
  <w:style w:type="character" w:customStyle="1" w:styleId="TitleChar">
    <w:name w:val="Title Char"/>
    <w:aliases w:val="ECHA Heading Char"/>
    <w:basedOn w:val="DefaultParagraphFont"/>
    <w:link w:val="Title"/>
    <w:locked/>
    <w:rPr>
      <w:rFonts w:cs="Arial"/>
      <w:b/>
      <w:bCs/>
      <w:color w:val="0046AD"/>
      <w:sz w:val="28"/>
      <w:szCs w:val="32"/>
      <w:lang w:eastAsia="fi-FI"/>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lang w:val="x-none" w:eastAsia="fi-FI"/>
    </w:rPr>
  </w:style>
  <w:style w:type="paragraph" w:styleId="BodyTextFirstIndent2">
    <w:name w:val="Body Text First Indent 2"/>
    <w:basedOn w:val="Normal"/>
    <w:link w:val="BodyTextFirstIndent2Char"/>
    <w:uiPriority w:val="99"/>
    <w:semiHidden/>
    <w:pPr>
      <w:spacing w:after="120"/>
      <w:ind w:left="283" w:firstLine="210"/>
    </w:pPr>
  </w:style>
  <w:style w:type="character" w:customStyle="1" w:styleId="BodyTextFirstIndent2Char">
    <w:name w:val="Body Text First Indent 2 Char"/>
    <w:basedOn w:val="BodyTextIndentChar"/>
    <w:link w:val="BodyTextFirstIndent2"/>
    <w:uiPriority w:val="99"/>
    <w:semiHidden/>
    <w:locked/>
    <w:rPr>
      <w:lang w:val="x-none" w:eastAsia="fi-FI"/>
    </w:rPr>
  </w:style>
  <w:style w:type="paragraph" w:customStyle="1" w:styleId="Footnotes">
    <w:name w:val="Footnotes"/>
    <w:basedOn w:val="BodyText"/>
    <w:rPr>
      <w:rFonts w:ascii="Georgia" w:hAnsi="Georgia"/>
      <w:sz w:val="18"/>
    </w:rPr>
  </w:style>
  <w:style w:type="paragraph" w:customStyle="1" w:styleId="Disclaimer">
    <w:name w:val="Disclaimer"/>
    <w:basedOn w:val="Footer"/>
    <w:pPr>
      <w:spacing w:before="120" w:line="140" w:lineRule="exact"/>
    </w:pPr>
    <w:rPr>
      <w:spacing w:val="0"/>
      <w:sz w:val="11"/>
    </w:rPr>
  </w:style>
  <w:style w:type="table" w:styleId="TableGrid">
    <w:name w:val="Table Grid"/>
    <w:basedOn w:val="TableNormal"/>
    <w:uiPriority w:val="59"/>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w:basedOn w:val="Normal"/>
    <w:link w:val="FootnoteTextChar"/>
  </w:style>
  <w:style w:type="character" w:customStyle="1" w:styleId="FootnoteTextChar">
    <w:name w:val="Footnote Text Char"/>
    <w:aliases w:val="Footnote Text Char Char Char"/>
    <w:basedOn w:val="DefaultParagraphFont"/>
    <w:link w:val="FootnoteText"/>
    <w:locked/>
    <w:rPr>
      <w:lang w:val="x-none" w:eastAsia="fi-FI"/>
    </w:rPr>
  </w:style>
  <w:style w:type="character" w:styleId="FootnoteReference">
    <w:name w:val="footnote reference"/>
    <w:aliases w:val="Footnote,Footnote Reference/"/>
    <w:basedOn w:val="DefaultParagraphFont"/>
    <w:rPr>
      <w:rFonts w:ascii="Georgia" w:hAnsi="Georgia"/>
      <w:sz w:val="16"/>
      <w:vertAlign w:val="superscript"/>
    </w:rPr>
  </w:style>
  <w:style w:type="paragraph" w:customStyle="1" w:styleId="Tableheader">
    <w:name w:val="Table header"/>
    <w:basedOn w:val="BodyText"/>
    <w:pPr>
      <w:spacing w:after="120"/>
    </w:pPr>
    <w:rPr>
      <w:b/>
      <w:color w:val="FFCC00"/>
      <w:sz w:val="18"/>
      <w:szCs w:val="18"/>
    </w:rPr>
  </w:style>
  <w:style w:type="paragraph" w:customStyle="1" w:styleId="Tabletext">
    <w:name w:val="Tabletext"/>
    <w:basedOn w:val="BodyText"/>
    <w:pPr>
      <w:spacing w:after="0"/>
    </w:pPr>
    <w:rPr>
      <w:sz w:val="18"/>
    </w:rPr>
  </w:style>
  <w:style w:type="paragraph" w:customStyle="1" w:styleId="Covertitle">
    <w:name w:val="Cover title"/>
    <w:basedOn w:val="Normal"/>
    <w:link w:val="CovertitleChar"/>
    <w:qFormat/>
    <w:pPr>
      <w:widowControl/>
      <w:spacing w:before="2160" w:after="240"/>
      <w:jc w:val="center"/>
    </w:pPr>
    <w:rPr>
      <w:b/>
      <w:sz w:val="32"/>
      <w:szCs w:val="24"/>
      <w:lang w:eastAsia="en-US"/>
    </w:rPr>
  </w:style>
  <w:style w:type="paragraph" w:customStyle="1" w:styleId="NormalItalic">
    <w:name w:val="Normal Italic"/>
    <w:basedOn w:val="Normal"/>
    <w:link w:val="NormalItalicCharChar"/>
    <w:pPr>
      <w:widowControl/>
      <w:spacing w:after="180"/>
      <w:jc w:val="both"/>
    </w:pPr>
    <w:rPr>
      <w:i/>
      <w:szCs w:val="24"/>
      <w:lang w:eastAsia="en-US"/>
    </w:rPr>
  </w:style>
  <w:style w:type="character" w:customStyle="1" w:styleId="CovertitleChar">
    <w:name w:val="Cover title Char"/>
    <w:link w:val="Covertitle"/>
    <w:locked/>
    <w:rPr>
      <w:b/>
      <w:sz w:val="24"/>
      <w:lang w:val="x-none" w:eastAsia="en-US"/>
    </w:rPr>
  </w:style>
  <w:style w:type="character" w:customStyle="1" w:styleId="NormalItalicCharChar">
    <w:name w:val="Normal Italic Char Char"/>
    <w:link w:val="NormalItalic"/>
    <w:locked/>
    <w:rPr>
      <w:i/>
      <w:sz w:val="24"/>
      <w:lang w:val="x-none" w:eastAsia="en-US"/>
    </w:rPr>
  </w:style>
  <w:style w:type="paragraph" w:customStyle="1" w:styleId="Sectiontitle">
    <w:name w:val="Section title"/>
    <w:basedOn w:val="Normal"/>
    <w:next w:val="Normal"/>
    <w:link w:val="SectiontitleChar"/>
    <w:pPr>
      <w:widowControl/>
      <w:spacing w:before="240" w:after="360"/>
      <w:jc w:val="center"/>
    </w:pPr>
    <w:rPr>
      <w:b/>
      <w:caps/>
      <w:sz w:val="32"/>
      <w:szCs w:val="32"/>
      <w:lang w:eastAsia="en-US"/>
    </w:rPr>
  </w:style>
  <w:style w:type="character" w:customStyle="1" w:styleId="SectiontitleChar">
    <w:name w:val="Section title Char"/>
    <w:link w:val="Sectiontitle"/>
    <w:locked/>
    <w:rPr>
      <w:b/>
      <w:caps/>
      <w:sz w:val="32"/>
      <w:lang w:val="x-none" w:eastAsia="en-US"/>
    </w:rPr>
  </w:style>
  <w:style w:type="paragraph" w:styleId="Caption">
    <w:name w:val="caption"/>
    <w:aliases w:val="Caption Table"/>
    <w:basedOn w:val="Normal"/>
    <w:next w:val="Normal"/>
    <w:link w:val="CaptionChar"/>
    <w:qFormat/>
    <w:pPr>
      <w:keepNext/>
      <w:widowControl/>
      <w:spacing w:before="120" w:after="90"/>
      <w:ind w:left="57"/>
      <w:jc w:val="both"/>
    </w:pPr>
    <w:rPr>
      <w:bCs/>
      <w:sz w:val="22"/>
      <w:szCs w:val="24"/>
      <w:lang w:eastAsia="en-US"/>
    </w:rPr>
  </w:style>
  <w:style w:type="character" w:customStyle="1" w:styleId="CaptionChar">
    <w:name w:val="Caption Char"/>
    <w:aliases w:val="Caption Table Char"/>
    <w:link w:val="Caption"/>
    <w:locked/>
    <w:rPr>
      <w:sz w:val="24"/>
      <w:lang w:val="x-none" w:eastAsia="en-US"/>
    </w:rPr>
  </w:style>
  <w:style w:type="paragraph" w:customStyle="1" w:styleId="TableRowHeader">
    <w:name w:val="Table Row Header"/>
    <w:basedOn w:val="Normal"/>
    <w:pPr>
      <w:keepNext/>
      <w:keepLines/>
      <w:widowControl/>
      <w:spacing w:before="54" w:after="54"/>
      <w:ind w:left="113"/>
      <w:jc w:val="both"/>
    </w:pPr>
    <w:rPr>
      <w:b/>
      <w:bCs/>
      <w:szCs w:val="22"/>
      <w:lang w:eastAsia="da-DK"/>
    </w:rPr>
  </w:style>
  <w:style w:type="paragraph" w:customStyle="1" w:styleId="StyleTabletextItalic">
    <w:name w:val="Style Table text + Italic"/>
    <w:basedOn w:val="Normal"/>
    <w:pPr>
      <w:keepNext/>
      <w:keepLines/>
      <w:widowControl/>
      <w:spacing w:before="54" w:after="54"/>
      <w:ind w:left="113"/>
      <w:jc w:val="both"/>
    </w:pPr>
    <w:rPr>
      <w:i/>
      <w:iCs/>
      <w:szCs w:val="24"/>
      <w:lang w:eastAsia="da-DK"/>
    </w:rPr>
  </w:style>
  <w:style w:type="paragraph" w:customStyle="1" w:styleId="StyleTableRowHeaderItalic">
    <w:name w:val="Style Table Row Header + Italic"/>
    <w:basedOn w:val="TableRowHeader"/>
    <w:rPr>
      <w:i/>
      <w:iCs/>
    </w:rPr>
  </w:style>
  <w:style w:type="paragraph" w:customStyle="1" w:styleId="TableColumnHeader">
    <w:name w:val="Table Column Header"/>
    <w:basedOn w:val="Normal"/>
    <w:pPr>
      <w:keepNext/>
      <w:keepLines/>
      <w:widowControl/>
      <w:spacing w:before="54" w:after="54"/>
      <w:ind w:left="113"/>
      <w:jc w:val="center"/>
    </w:pPr>
    <w:rPr>
      <w:b/>
      <w:bCs/>
      <w:szCs w:val="22"/>
      <w:lang w:eastAsia="da-DK"/>
    </w:rPr>
  </w:style>
  <w:style w:type="paragraph" w:customStyle="1" w:styleId="Tablenote">
    <w:name w:val="Table note"/>
    <w:next w:val="BodyText"/>
    <w:pPr>
      <w:spacing w:before="90"/>
      <w:ind w:left="839"/>
      <w:jc w:val="both"/>
    </w:pPr>
    <w:rPr>
      <w:rFonts w:ascii="Times New Roman" w:hAnsi="Times New Roman" w:cs="Times New Roman"/>
      <w:spacing w:val="-3"/>
      <w:lang w:val="en-US" w:eastAsia="en-US"/>
    </w:rPr>
  </w:style>
  <w:style w:type="paragraph" w:customStyle="1" w:styleId="Tabletext0">
    <w:name w:val="Table text"/>
    <w:basedOn w:val="Normal"/>
    <w:link w:val="TabletextCar"/>
    <w:pPr>
      <w:keepNext/>
      <w:keepLines/>
      <w:widowControl/>
      <w:spacing w:before="54" w:after="54"/>
      <w:ind w:left="113"/>
      <w:jc w:val="both"/>
    </w:pPr>
    <w:rPr>
      <w:szCs w:val="24"/>
      <w:lang w:eastAsia="da-DK"/>
    </w:rPr>
  </w:style>
  <w:style w:type="character" w:customStyle="1" w:styleId="TabletextCar">
    <w:name w:val="Table text Car"/>
    <w:link w:val="Tabletext0"/>
    <w:locked/>
    <w:rPr>
      <w:sz w:val="24"/>
      <w:lang w:val="x-none" w:eastAsia="da-DK"/>
    </w:rPr>
  </w:style>
  <w:style w:type="paragraph" w:customStyle="1" w:styleId="Normalbold">
    <w:name w:val="Normal bold"/>
    <w:basedOn w:val="Normal"/>
    <w:link w:val="NormalboldChar"/>
    <w:pPr>
      <w:widowControl/>
      <w:spacing w:after="180"/>
      <w:jc w:val="both"/>
    </w:pPr>
    <w:rPr>
      <w:b/>
      <w:szCs w:val="24"/>
      <w:lang w:eastAsia="en-US"/>
    </w:rPr>
  </w:style>
  <w:style w:type="paragraph" w:customStyle="1" w:styleId="Tablenumbers">
    <w:name w:val="Table numbers"/>
    <w:basedOn w:val="Tabletext0"/>
    <w:link w:val="TablenumbersChar"/>
    <w:pPr>
      <w:jc w:val="center"/>
    </w:pPr>
  </w:style>
  <w:style w:type="character" w:customStyle="1" w:styleId="TablenumbersChar">
    <w:name w:val="Table numbers Char"/>
    <w:link w:val="Tablenumbers"/>
    <w:locked/>
    <w:rPr>
      <w:sz w:val="24"/>
      <w:lang w:val="x-none" w:eastAsia="da-DK"/>
    </w:rPr>
  </w:style>
  <w:style w:type="paragraph" w:customStyle="1" w:styleId="Figure">
    <w:name w:val="Figure"/>
    <w:basedOn w:val="Normal"/>
    <w:next w:val="CaptionFigure"/>
    <w:pPr>
      <w:widowControl/>
      <w:spacing w:before="360" w:after="180"/>
      <w:jc w:val="center"/>
    </w:pPr>
    <w:rPr>
      <w:szCs w:val="24"/>
      <w:lang w:eastAsia="en-US"/>
    </w:rPr>
  </w:style>
  <w:style w:type="paragraph" w:customStyle="1" w:styleId="CaptionFigure">
    <w:name w:val="Caption Figure"/>
    <w:basedOn w:val="Caption"/>
    <w:pPr>
      <w:jc w:val="center"/>
    </w:pPr>
    <w:rPr>
      <w:sz w:val="24"/>
    </w:rPr>
  </w:style>
  <w:style w:type="character" w:customStyle="1" w:styleId="NormalboldChar">
    <w:name w:val="Normal bold Char"/>
    <w:link w:val="Normalbold"/>
    <w:locked/>
    <w:rPr>
      <w:b/>
      <w:sz w:val="24"/>
      <w:lang w:val="x-none" w:eastAsia="en-US"/>
    </w:rPr>
  </w:style>
  <w:style w:type="paragraph" w:customStyle="1" w:styleId="References">
    <w:name w:val="References"/>
    <w:basedOn w:val="Normal"/>
    <w:pPr>
      <w:widowControl/>
      <w:spacing w:after="180"/>
      <w:ind w:left="720" w:hanging="720"/>
      <w:jc w:val="both"/>
    </w:pPr>
    <w:rPr>
      <w:szCs w:val="24"/>
      <w:lang w:eastAsia="en-US"/>
    </w:rPr>
  </w:style>
  <w:style w:type="paragraph" w:customStyle="1" w:styleId="Heading">
    <w:name w:val="Heading"/>
    <w:basedOn w:val="Normal"/>
    <w:next w:val="Normal"/>
    <w:link w:val="HeadingChar"/>
    <w:pPr>
      <w:keepNext/>
      <w:widowControl/>
      <w:numPr>
        <w:numId w:val="7"/>
      </w:numPr>
      <w:suppressAutoHyphens/>
      <w:spacing w:before="240" w:after="120"/>
    </w:pPr>
    <w:rPr>
      <w:rFonts w:eastAsia="SimSun"/>
      <w:b/>
      <w:caps/>
      <w:szCs w:val="28"/>
      <w:lang w:eastAsia="ar-SA"/>
    </w:rPr>
  </w:style>
  <w:style w:type="paragraph" w:styleId="TableofFigures">
    <w:name w:val="table of figures"/>
    <w:basedOn w:val="Normal"/>
    <w:next w:val="Normal"/>
    <w:uiPriority w:val="99"/>
  </w:style>
  <w:style w:type="paragraph" w:styleId="TOC4">
    <w:name w:val="toc 4"/>
    <w:basedOn w:val="Normal"/>
    <w:next w:val="Normal"/>
    <w:autoRedefine/>
    <w:uiPriority w:val="39"/>
    <w:pPr>
      <w:ind w:left="600"/>
    </w:pPr>
    <w:rPr>
      <w:rFonts w:ascii="Calibri" w:hAnsi="Calibri" w:cs="Calibri"/>
      <w:sz w:val="18"/>
      <w:szCs w:val="18"/>
    </w:rPr>
  </w:style>
  <w:style w:type="paragraph" w:styleId="TOC5">
    <w:name w:val="toc 5"/>
    <w:basedOn w:val="Normal"/>
    <w:next w:val="Normal"/>
    <w:autoRedefine/>
    <w:uiPriority w:val="39"/>
    <w:pPr>
      <w:ind w:left="800"/>
    </w:pPr>
    <w:rPr>
      <w:rFonts w:ascii="Calibri" w:hAnsi="Calibri" w:cs="Calibri"/>
      <w:sz w:val="18"/>
      <w:szCs w:val="18"/>
    </w:rPr>
  </w:style>
  <w:style w:type="paragraph" w:styleId="TOC6">
    <w:name w:val="toc 6"/>
    <w:basedOn w:val="Normal"/>
    <w:next w:val="Normal"/>
    <w:autoRedefine/>
    <w:uiPriority w:val="39"/>
    <w:pPr>
      <w:ind w:left="1000"/>
    </w:pPr>
    <w:rPr>
      <w:rFonts w:ascii="Calibri" w:hAnsi="Calibri" w:cs="Calibri"/>
      <w:sz w:val="18"/>
      <w:szCs w:val="18"/>
    </w:rPr>
  </w:style>
  <w:style w:type="paragraph" w:styleId="TOC7">
    <w:name w:val="toc 7"/>
    <w:basedOn w:val="Normal"/>
    <w:next w:val="Normal"/>
    <w:autoRedefine/>
    <w:uiPriority w:val="39"/>
    <w:pPr>
      <w:ind w:left="1200"/>
    </w:pPr>
    <w:rPr>
      <w:rFonts w:ascii="Calibri" w:hAnsi="Calibri" w:cs="Calibri"/>
      <w:sz w:val="18"/>
      <w:szCs w:val="18"/>
    </w:rPr>
  </w:style>
  <w:style w:type="paragraph" w:styleId="TOC8">
    <w:name w:val="toc 8"/>
    <w:basedOn w:val="Normal"/>
    <w:next w:val="Normal"/>
    <w:autoRedefine/>
    <w:uiPriority w:val="39"/>
    <w:pPr>
      <w:spacing w:before="120" w:after="120"/>
    </w:pPr>
    <w:rPr>
      <w:rFonts w:ascii="Calibri" w:hAnsi="Calibri" w:cs="Calibri"/>
      <w:b/>
      <w:caps/>
      <w:szCs w:val="18"/>
    </w:rPr>
  </w:style>
  <w:style w:type="paragraph" w:styleId="TOC9">
    <w:name w:val="toc 9"/>
    <w:basedOn w:val="Normal"/>
    <w:next w:val="Normal"/>
    <w:autoRedefine/>
    <w:uiPriority w:val="39"/>
    <w:pPr>
      <w:tabs>
        <w:tab w:val="left" w:pos="2412"/>
        <w:tab w:val="right" w:leader="dot" w:pos="9629"/>
      </w:tabs>
    </w:pPr>
    <w:rPr>
      <w:rFonts w:ascii="Calibri" w:hAnsi="Calibri" w:cs="Calibri"/>
      <w:szCs w:val="18"/>
    </w:rPr>
  </w:style>
  <w:style w:type="paragraph" w:customStyle="1" w:styleId="Titleintro">
    <w:name w:val="Title intro"/>
    <w:basedOn w:val="Sectiontitle"/>
    <w:link w:val="TitleintroChar"/>
    <w:qFormat/>
  </w:style>
  <w:style w:type="paragraph" w:customStyle="1" w:styleId="ANNEX">
    <w:name w:val="ANNEX"/>
    <w:basedOn w:val="Heading"/>
    <w:link w:val="ANNEXChar"/>
    <w:qFormat/>
    <w:pPr>
      <w:ind w:left="0" w:firstLine="1077"/>
    </w:pPr>
  </w:style>
  <w:style w:type="character" w:customStyle="1" w:styleId="TitleintroChar">
    <w:name w:val="Title intro Char"/>
    <w:link w:val="Titleintro"/>
    <w:locked/>
    <w:rPr>
      <w:b/>
      <w:caps/>
      <w:sz w:val="32"/>
      <w:lang w:val="x-none" w:eastAsia="en-US"/>
    </w:rPr>
  </w:style>
  <w:style w:type="character" w:styleId="Strong">
    <w:name w:val="Strong"/>
    <w:basedOn w:val="DefaultParagraphFont"/>
    <w:uiPriority w:val="22"/>
    <w:qFormat/>
    <w:rPr>
      <w:b/>
    </w:rPr>
  </w:style>
  <w:style w:type="character" w:customStyle="1" w:styleId="HeadingChar">
    <w:name w:val="Heading Char"/>
    <w:link w:val="Heading"/>
    <w:locked/>
    <w:rPr>
      <w:rFonts w:eastAsia="SimSun" w:cs="Times New Roman"/>
      <w:b/>
      <w:caps/>
      <w:szCs w:val="28"/>
      <w:lang w:eastAsia="ar-SA"/>
    </w:rPr>
  </w:style>
  <w:style w:type="character" w:customStyle="1" w:styleId="ANNEXChar">
    <w:name w:val="ANNEX Char"/>
    <w:link w:val="ANNEX"/>
    <w:locked/>
    <w:rPr>
      <w:rFonts w:eastAsia="SimSun" w:cs="Times New Roman"/>
      <w:b/>
      <w:caps/>
      <w:szCs w:val="28"/>
      <w:lang w:eastAsia="ar-SA"/>
    </w:rPr>
  </w:style>
  <w:style w:type="paragraph" w:customStyle="1" w:styleId="Referencetitle">
    <w:name w:val="Reference title"/>
    <w:basedOn w:val="Titleintro"/>
    <w:link w:val="ReferencetitleChar"/>
    <w:qFormat/>
  </w:style>
  <w:style w:type="paragraph" w:customStyle="1" w:styleId="CM1">
    <w:name w:val="CM1"/>
    <w:basedOn w:val="Normal"/>
    <w:next w:val="Normal"/>
    <w:uiPriority w:val="99"/>
    <w:pPr>
      <w:widowControl/>
      <w:autoSpaceDE w:val="0"/>
      <w:autoSpaceDN w:val="0"/>
      <w:adjustRightInd w:val="0"/>
    </w:pPr>
    <w:rPr>
      <w:rFonts w:ascii="Times New Roman" w:hAnsi="Times New Roman"/>
      <w:sz w:val="24"/>
      <w:szCs w:val="24"/>
      <w:lang w:eastAsia="en-GB"/>
    </w:rPr>
  </w:style>
  <w:style w:type="character" w:customStyle="1" w:styleId="ReferencetitleChar">
    <w:name w:val="Reference title Char"/>
    <w:link w:val="Referencetitle"/>
    <w:locked/>
  </w:style>
  <w:style w:type="paragraph" w:customStyle="1" w:styleId="CM3">
    <w:name w:val="CM3"/>
    <w:basedOn w:val="Normal"/>
    <w:next w:val="Normal"/>
    <w:uiPriority w:val="99"/>
    <w:pPr>
      <w:widowControl/>
      <w:autoSpaceDE w:val="0"/>
      <w:autoSpaceDN w:val="0"/>
      <w:adjustRightInd w:val="0"/>
    </w:pPr>
    <w:rPr>
      <w:rFonts w:ascii="Times New Roman" w:hAnsi="Times New Roman"/>
      <w:sz w:val="24"/>
      <w:szCs w:val="24"/>
      <w:lang w:eastAsia="en-GB"/>
    </w:rPr>
  </w:style>
  <w:style w:type="paragraph" w:customStyle="1" w:styleId="CM4">
    <w:name w:val="CM4"/>
    <w:basedOn w:val="Normal"/>
    <w:next w:val="Normal"/>
    <w:uiPriority w:val="99"/>
    <w:pPr>
      <w:widowControl/>
      <w:autoSpaceDE w:val="0"/>
      <w:autoSpaceDN w:val="0"/>
      <w:adjustRightInd w:val="0"/>
    </w:pPr>
    <w:rPr>
      <w:rFonts w:ascii="Times New Roman" w:hAnsi="Times New Roman"/>
      <w:sz w:val="24"/>
      <w:szCs w:val="24"/>
      <w:lang w:eastAsia="en-GB"/>
    </w:rPr>
  </w:style>
  <w:style w:type="paragraph" w:styleId="PlainText">
    <w:name w:val="Plain Text"/>
    <w:basedOn w:val="Normal"/>
    <w:link w:val="PlainTextChar"/>
    <w:uiPriority w:val="99"/>
    <w:unhideWhenUsed/>
    <w:pPr>
      <w:widowControl/>
    </w:pPr>
    <w:rPr>
      <w:szCs w:val="21"/>
      <w:lang w:eastAsia="en-US"/>
    </w:rPr>
  </w:style>
  <w:style w:type="character" w:customStyle="1" w:styleId="PlainTextChar">
    <w:name w:val="Plain Text Char"/>
    <w:basedOn w:val="DefaultParagraphFont"/>
    <w:link w:val="PlainText"/>
    <w:uiPriority w:val="99"/>
    <w:locked/>
    <w:rPr>
      <w:rFonts w:eastAsia="Times New Roman"/>
      <w:sz w:val="21"/>
      <w:lang w:val="x-none" w:eastAsia="en-US"/>
    </w:rPr>
  </w:style>
  <w:style w:type="paragraph" w:customStyle="1" w:styleId="Sisllysluettelonotsikko">
    <w:name w:val="Sisällysluettelon otsikko"/>
    <w:basedOn w:val="Heading1"/>
    <w:next w:val="Normal"/>
    <w:uiPriority w:val="39"/>
    <w:semiHidden/>
    <w:unhideWhenUsed/>
    <w:qFormat/>
    <w:pPr>
      <w:widowControl/>
      <w:numPr>
        <w:numId w:val="0"/>
      </w:numPr>
      <w:spacing w:before="480" w:after="0" w:line="276" w:lineRule="auto"/>
      <w:outlineLvl w:val="9"/>
    </w:pPr>
    <w:rPr>
      <w:rFonts w:ascii="Cambria" w:eastAsia="MS Gothic" w:hAnsi="Cambria"/>
      <w:bCs/>
      <w:color w:val="365F91"/>
      <w:szCs w:val="28"/>
      <w:lang w:val="en-US" w:eastAsia="ja-JP"/>
    </w:rPr>
  </w:style>
  <w:style w:type="paragraph" w:styleId="TOCHeading">
    <w:name w:val="TOC Heading"/>
    <w:basedOn w:val="Heading1"/>
    <w:next w:val="Normal"/>
    <w:uiPriority w:val="39"/>
    <w:qFormat/>
    <w:rsid w:val="00B6376F"/>
    <w:pPr>
      <w:widowControl/>
      <w:numPr>
        <w:numId w:val="0"/>
      </w:numPr>
      <w:spacing w:before="480" w:after="0" w:line="276" w:lineRule="auto"/>
      <w:outlineLvl w:val="9"/>
    </w:pPr>
    <w:rPr>
      <w:rFonts w:ascii="Cambria" w:eastAsia="MS Gothic" w:hAnsi="Cambria"/>
      <w:bCs/>
      <w:color w:val="365F91"/>
      <w:szCs w:val="28"/>
      <w:lang w:val="en-US" w:eastAsia="ja-JP"/>
    </w:rPr>
  </w:style>
  <w:style w:type="paragraph" w:styleId="Revision">
    <w:name w:val="Revision"/>
    <w:hidden/>
    <w:uiPriority w:val="99"/>
    <w:semiHidden/>
    <w:rsid w:val="00473F8A"/>
    <w:rPr>
      <w:rFonts w:cs="Times New Roman"/>
      <w:lang w:eastAsia="fi-FI"/>
    </w:rPr>
  </w:style>
  <w:style w:type="paragraph" w:styleId="NoSpacing">
    <w:name w:val="No Spacing"/>
    <w:uiPriority w:val="1"/>
    <w:qFormat/>
    <w:rsid w:val="001F5783"/>
    <w:pPr>
      <w:widowControl w:val="0"/>
    </w:pPr>
    <w:rPr>
      <w:rFonts w:cs="Times New Roman"/>
      <w:lang w:eastAsia="fi-FI"/>
    </w:rPr>
  </w:style>
  <w:style w:type="paragraph" w:styleId="ListParagraph">
    <w:name w:val="List Paragraph"/>
    <w:basedOn w:val="Normal"/>
    <w:uiPriority w:val="34"/>
    <w:qFormat/>
    <w:rsid w:val="003909BD"/>
    <w:pPr>
      <w:ind w:left="720"/>
    </w:pPr>
  </w:style>
  <w:style w:type="paragraph" w:customStyle="1" w:styleId="Default">
    <w:name w:val="Default"/>
    <w:rsid w:val="00B61257"/>
    <w:pPr>
      <w:autoSpaceDE w:val="0"/>
      <w:autoSpaceDN w:val="0"/>
      <w:adjustRightInd w:val="0"/>
    </w:pPr>
    <w:rPr>
      <w:rFonts w:ascii="Symbol" w:hAnsi="Symbol" w:cs="Symbol"/>
      <w:color w:val="000000"/>
      <w:sz w:val="24"/>
      <w:szCs w:val="24"/>
    </w:rPr>
  </w:style>
  <w:style w:type="numbering" w:customStyle="1" w:styleId="ECHABulletlist">
    <w:name w:val="ECHA Bullet list"/>
    <w:pPr>
      <w:numPr>
        <w:numId w:val="2"/>
      </w:numPr>
    </w:pPr>
  </w:style>
  <w:style w:type="numbering" w:customStyle="1" w:styleId="ECHANumberlist">
    <w:name w:val="ECHA Number list"/>
    <w:pPr>
      <w:numPr>
        <w:numId w:val="3"/>
      </w:numPr>
    </w:pPr>
  </w:style>
  <w:style w:type="character" w:customStyle="1" w:styleId="value1">
    <w:name w:val="value1"/>
    <w:rsid w:val="00554DC9"/>
    <w:rPr>
      <w:vanish w:val="0"/>
      <w:webHidden w:val="0"/>
      <w:color w:val="4A6463"/>
      <w:sz w:val="29"/>
      <w:szCs w:val="29"/>
      <w:specVanish w:val="0"/>
    </w:rPr>
  </w:style>
  <w:style w:type="paragraph" w:styleId="ListBullet">
    <w:name w:val="List Bullet"/>
    <w:next w:val="BodyText"/>
    <w:rsid w:val="00AF4F79"/>
    <w:pPr>
      <w:numPr>
        <w:numId w:val="27"/>
      </w:numPr>
      <w:tabs>
        <w:tab w:val="clear" w:pos="425"/>
        <w:tab w:val="left" w:pos="357"/>
      </w:tabs>
      <w:ind w:left="357" w:hanging="357"/>
      <w:jc w:val="both"/>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08456">
      <w:bodyDiv w:val="1"/>
      <w:marLeft w:val="0"/>
      <w:marRight w:val="0"/>
      <w:marTop w:val="0"/>
      <w:marBottom w:val="0"/>
      <w:divBdr>
        <w:top w:val="none" w:sz="0" w:space="0" w:color="auto"/>
        <w:left w:val="none" w:sz="0" w:space="0" w:color="auto"/>
        <w:bottom w:val="none" w:sz="0" w:space="0" w:color="auto"/>
        <w:right w:val="none" w:sz="0" w:space="0" w:color="auto"/>
      </w:divBdr>
      <w:divsChild>
        <w:div w:id="1458643402">
          <w:marLeft w:val="0"/>
          <w:marRight w:val="0"/>
          <w:marTop w:val="0"/>
          <w:marBottom w:val="0"/>
          <w:divBdr>
            <w:top w:val="none" w:sz="0" w:space="0" w:color="auto"/>
            <w:left w:val="none" w:sz="0" w:space="0" w:color="auto"/>
            <w:bottom w:val="none" w:sz="0" w:space="0" w:color="auto"/>
            <w:right w:val="none" w:sz="0" w:space="0" w:color="auto"/>
          </w:divBdr>
          <w:divsChild>
            <w:div w:id="1241058824">
              <w:marLeft w:val="0"/>
              <w:marRight w:val="0"/>
              <w:marTop w:val="0"/>
              <w:marBottom w:val="0"/>
              <w:divBdr>
                <w:top w:val="none" w:sz="0" w:space="0" w:color="auto"/>
                <w:left w:val="none" w:sz="0" w:space="0" w:color="auto"/>
                <w:bottom w:val="none" w:sz="0" w:space="0" w:color="auto"/>
                <w:right w:val="none" w:sz="0" w:space="0" w:color="auto"/>
              </w:divBdr>
              <w:divsChild>
                <w:div w:id="13488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97110">
      <w:bodyDiv w:val="1"/>
      <w:marLeft w:val="0"/>
      <w:marRight w:val="0"/>
      <w:marTop w:val="0"/>
      <w:marBottom w:val="0"/>
      <w:divBdr>
        <w:top w:val="none" w:sz="0" w:space="0" w:color="auto"/>
        <w:left w:val="none" w:sz="0" w:space="0" w:color="auto"/>
        <w:bottom w:val="none" w:sz="0" w:space="0" w:color="auto"/>
        <w:right w:val="none" w:sz="0" w:space="0" w:color="auto"/>
      </w:divBdr>
    </w:div>
    <w:div w:id="767967454">
      <w:bodyDiv w:val="1"/>
      <w:marLeft w:val="0"/>
      <w:marRight w:val="0"/>
      <w:marTop w:val="0"/>
      <w:marBottom w:val="0"/>
      <w:divBdr>
        <w:top w:val="none" w:sz="0" w:space="0" w:color="auto"/>
        <w:left w:val="none" w:sz="0" w:space="0" w:color="auto"/>
        <w:bottom w:val="none" w:sz="0" w:space="0" w:color="auto"/>
        <w:right w:val="none" w:sz="0" w:space="0" w:color="auto"/>
      </w:divBdr>
    </w:div>
    <w:div w:id="828640885">
      <w:bodyDiv w:val="1"/>
      <w:marLeft w:val="0"/>
      <w:marRight w:val="0"/>
      <w:marTop w:val="0"/>
      <w:marBottom w:val="0"/>
      <w:divBdr>
        <w:top w:val="none" w:sz="0" w:space="0" w:color="auto"/>
        <w:left w:val="none" w:sz="0" w:space="0" w:color="auto"/>
        <w:bottom w:val="none" w:sz="0" w:space="0" w:color="auto"/>
        <w:right w:val="none" w:sz="0" w:space="0" w:color="auto"/>
      </w:divBdr>
    </w:div>
    <w:div w:id="856577556">
      <w:bodyDiv w:val="1"/>
      <w:marLeft w:val="0"/>
      <w:marRight w:val="0"/>
      <w:marTop w:val="0"/>
      <w:marBottom w:val="0"/>
      <w:divBdr>
        <w:top w:val="none" w:sz="0" w:space="0" w:color="auto"/>
        <w:left w:val="none" w:sz="0" w:space="0" w:color="auto"/>
        <w:bottom w:val="none" w:sz="0" w:space="0" w:color="auto"/>
        <w:right w:val="none" w:sz="0" w:space="0" w:color="auto"/>
      </w:divBdr>
    </w:div>
    <w:div w:id="900285397">
      <w:bodyDiv w:val="1"/>
      <w:marLeft w:val="0"/>
      <w:marRight w:val="0"/>
      <w:marTop w:val="0"/>
      <w:marBottom w:val="0"/>
      <w:divBdr>
        <w:top w:val="none" w:sz="0" w:space="0" w:color="auto"/>
        <w:left w:val="none" w:sz="0" w:space="0" w:color="auto"/>
        <w:bottom w:val="none" w:sz="0" w:space="0" w:color="auto"/>
        <w:right w:val="none" w:sz="0" w:space="0" w:color="auto"/>
      </w:divBdr>
    </w:div>
    <w:div w:id="927693776">
      <w:bodyDiv w:val="1"/>
      <w:marLeft w:val="0"/>
      <w:marRight w:val="0"/>
      <w:marTop w:val="0"/>
      <w:marBottom w:val="0"/>
      <w:divBdr>
        <w:top w:val="none" w:sz="0" w:space="0" w:color="auto"/>
        <w:left w:val="none" w:sz="0" w:space="0" w:color="auto"/>
        <w:bottom w:val="none" w:sz="0" w:space="0" w:color="auto"/>
        <w:right w:val="none" w:sz="0" w:space="0" w:color="auto"/>
      </w:divBdr>
    </w:div>
    <w:div w:id="1158955757">
      <w:bodyDiv w:val="1"/>
      <w:marLeft w:val="0"/>
      <w:marRight w:val="0"/>
      <w:marTop w:val="0"/>
      <w:marBottom w:val="0"/>
      <w:divBdr>
        <w:top w:val="none" w:sz="0" w:space="0" w:color="auto"/>
        <w:left w:val="none" w:sz="0" w:space="0" w:color="auto"/>
        <w:bottom w:val="none" w:sz="0" w:space="0" w:color="auto"/>
        <w:right w:val="none" w:sz="0" w:space="0" w:color="auto"/>
      </w:divBdr>
    </w:div>
    <w:div w:id="1526289818">
      <w:bodyDiv w:val="1"/>
      <w:marLeft w:val="0"/>
      <w:marRight w:val="0"/>
      <w:marTop w:val="0"/>
      <w:marBottom w:val="0"/>
      <w:divBdr>
        <w:top w:val="none" w:sz="0" w:space="0" w:color="auto"/>
        <w:left w:val="none" w:sz="0" w:space="0" w:color="auto"/>
        <w:bottom w:val="none" w:sz="0" w:space="0" w:color="auto"/>
        <w:right w:val="none" w:sz="0" w:space="0" w:color="auto"/>
      </w:divBdr>
    </w:div>
    <w:div w:id="1588539924">
      <w:bodyDiv w:val="1"/>
      <w:marLeft w:val="0"/>
      <w:marRight w:val="0"/>
      <w:marTop w:val="0"/>
      <w:marBottom w:val="0"/>
      <w:divBdr>
        <w:top w:val="none" w:sz="0" w:space="0" w:color="auto"/>
        <w:left w:val="none" w:sz="0" w:space="0" w:color="auto"/>
        <w:bottom w:val="none" w:sz="0" w:space="0" w:color="auto"/>
        <w:right w:val="none" w:sz="0" w:space="0" w:color="auto"/>
      </w:divBdr>
    </w:div>
    <w:div w:id="1670712953">
      <w:bodyDiv w:val="1"/>
      <w:marLeft w:val="0"/>
      <w:marRight w:val="0"/>
      <w:marTop w:val="0"/>
      <w:marBottom w:val="0"/>
      <w:divBdr>
        <w:top w:val="none" w:sz="0" w:space="0" w:color="auto"/>
        <w:left w:val="none" w:sz="0" w:space="0" w:color="auto"/>
        <w:bottom w:val="none" w:sz="0" w:space="0" w:color="auto"/>
        <w:right w:val="none" w:sz="0" w:space="0" w:color="auto"/>
      </w:divBdr>
    </w:div>
    <w:div w:id="2000305926">
      <w:marLeft w:val="0"/>
      <w:marRight w:val="0"/>
      <w:marTop w:val="0"/>
      <w:marBottom w:val="0"/>
      <w:divBdr>
        <w:top w:val="none" w:sz="0" w:space="0" w:color="auto"/>
        <w:left w:val="none" w:sz="0" w:space="0" w:color="auto"/>
        <w:bottom w:val="none" w:sz="0" w:space="0" w:color="auto"/>
        <w:right w:val="none" w:sz="0" w:space="0" w:color="auto"/>
      </w:divBdr>
    </w:div>
    <w:div w:id="2000305927">
      <w:marLeft w:val="0"/>
      <w:marRight w:val="0"/>
      <w:marTop w:val="0"/>
      <w:marBottom w:val="0"/>
      <w:divBdr>
        <w:top w:val="none" w:sz="0" w:space="0" w:color="auto"/>
        <w:left w:val="none" w:sz="0" w:space="0" w:color="auto"/>
        <w:bottom w:val="none" w:sz="0" w:space="0" w:color="auto"/>
        <w:right w:val="none" w:sz="0" w:space="0" w:color="auto"/>
      </w:divBdr>
    </w:div>
    <w:div w:id="2000305928">
      <w:marLeft w:val="0"/>
      <w:marRight w:val="0"/>
      <w:marTop w:val="0"/>
      <w:marBottom w:val="0"/>
      <w:divBdr>
        <w:top w:val="none" w:sz="0" w:space="0" w:color="auto"/>
        <w:left w:val="none" w:sz="0" w:space="0" w:color="auto"/>
        <w:bottom w:val="none" w:sz="0" w:space="0" w:color="auto"/>
        <w:right w:val="none" w:sz="0" w:space="0" w:color="auto"/>
      </w:divBdr>
    </w:div>
    <w:div w:id="2000305929">
      <w:marLeft w:val="0"/>
      <w:marRight w:val="0"/>
      <w:marTop w:val="0"/>
      <w:marBottom w:val="0"/>
      <w:divBdr>
        <w:top w:val="none" w:sz="0" w:space="0" w:color="auto"/>
        <w:left w:val="none" w:sz="0" w:space="0" w:color="auto"/>
        <w:bottom w:val="none" w:sz="0" w:space="0" w:color="auto"/>
        <w:right w:val="none" w:sz="0" w:space="0" w:color="auto"/>
      </w:divBdr>
    </w:div>
    <w:div w:id="2000305930">
      <w:marLeft w:val="0"/>
      <w:marRight w:val="0"/>
      <w:marTop w:val="0"/>
      <w:marBottom w:val="0"/>
      <w:divBdr>
        <w:top w:val="none" w:sz="0" w:space="0" w:color="auto"/>
        <w:left w:val="none" w:sz="0" w:space="0" w:color="auto"/>
        <w:bottom w:val="none" w:sz="0" w:space="0" w:color="auto"/>
        <w:right w:val="none" w:sz="0" w:space="0" w:color="auto"/>
      </w:divBdr>
    </w:div>
    <w:div w:id="2000305931">
      <w:marLeft w:val="0"/>
      <w:marRight w:val="0"/>
      <w:marTop w:val="0"/>
      <w:marBottom w:val="0"/>
      <w:divBdr>
        <w:top w:val="none" w:sz="0" w:space="0" w:color="auto"/>
        <w:left w:val="none" w:sz="0" w:space="0" w:color="auto"/>
        <w:bottom w:val="none" w:sz="0" w:space="0" w:color="auto"/>
        <w:right w:val="none" w:sz="0" w:space="0" w:color="auto"/>
      </w:divBdr>
    </w:div>
    <w:div w:id="2000305932">
      <w:marLeft w:val="0"/>
      <w:marRight w:val="0"/>
      <w:marTop w:val="0"/>
      <w:marBottom w:val="0"/>
      <w:divBdr>
        <w:top w:val="none" w:sz="0" w:space="0" w:color="auto"/>
        <w:left w:val="none" w:sz="0" w:space="0" w:color="auto"/>
        <w:bottom w:val="none" w:sz="0" w:space="0" w:color="auto"/>
        <w:right w:val="none" w:sz="0" w:space="0" w:color="auto"/>
      </w:divBdr>
    </w:div>
    <w:div w:id="2000305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ha.europa.eu/documents/10162/73d246d4-8c2a-4150-b656-c15948bf0e77"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emi.se/Documents/Publikationer/Trycksaker/Rapporter/Rapport5_03.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ha.europa.eu/documents/10162/73d246d4-8c2a-4150-b656-c15948bf0e7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web/guest/information-on-chemicals/cl-inventory-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PostausgangIV2.3@UBAnet.uba.de &amp;lt;PostausgangIV2.3@UBAnet.uba.de&amp;gt;</EmailTo>
    <EmailHeaders xmlns="http://schemas.microsoft.com/sharepoint/v4">x-sender: ivo.schliebner@uba.de
x-receiver: postausgangiv2.3@ubanet.uba.de
Received: from mail.uba.de ([192.168.203.138]) by hermes-de2.uba.de with Microsoft SMTPSVC(7.5.7601.17514);
	 Fri, 25 Aug 2017 10:49:26 +0200
Received: from de-inf-015.uba.bund.de ([192.168.68.224]:50308)
	by mail.uba.de with esmtps (TLSv1.2:AES256-SHA256:256)
	(Exim 4.82_1-5b7a7c0-XX)
	(envelope-from &lt;Ivo.Schliebner@uba.de&gt;)
	id 1dlAIt-0008TT-1B
	for PostausgangIV2.3@UBAnet.uba.de; Fri, 25 Aug 2017 10:49:23 +0200
Received: from DE-INF-014.UBA.BUND.DE (192.168.68.223) by
 DE-INF-015.UBA.BUND.DE (192.168.68.224) with Microsoft SMTP Server
 (version=TLS1_2, cipher=TLS_ECDHE_RSA_WITH_AES_256_CBC_SHA384_P384) id
 15.1.669.32; Fri, 25 Aug 2017 10:49:22 +0200
Received: from DE-INF-014.UBA.BUND.DE ([192.168.68.223]) by
 DE-INF-014.UBA.BUND.DE ([192.168.68.223]) with mapi id 15.01.0669.032; Fri,
 25 Aug 2017 10:49:22 +0200
From: "Schliebner, Ivo" &lt;Ivo.Schliebner@uba.de&gt;
To: "PostausgangIV2.3@UBAnet.uba.de" &lt;PostausgangIV2.3@UBAnet.uba.de&gt;
Subject: SVHC-Dossiers BaA und CHR
Thread-Topic: SVHC-Dossiers BaA und CHR
Thread-Index: AdMdfuWatD3K3ERbQg+EkBxCxbWxzg==
Date: Fri, 25 Aug 2017 08:49:22 +0000
Message-ID: &lt;714853a048e34c91be95c05eff5d20a5@uba.de&gt;
Accept-Language: de-DE, en-US
Content-Language: de-DE
X-MS-Has-Attach: yes
X-MS-TNEF-Correlator:
x-originating-ip: [172.25.11.9]
Content-Type: multipart/mixed;
	boundary="_006_714853a048e34c91be95c05eff5d20a5ubade_"
MIME-Version: 1.0
Return-Path: ivo.schliebner@uba.de
X-OriginalArrivalTime: 25 Aug 2017 08:49:26.0533 (UTC) FILETIME=[0E820350:01D31D7F]
</EmailHeaders>
    <EmailSender xmlns="http://schemas.microsoft.com/sharepoint/v3">&lt;a href="mailto:ivo.schliebner@uba.de"&gt;ivo.schliebner@uba.de&lt;/a&gt;</EmailSender>
    <EmailFrom xmlns="http://schemas.microsoft.com/sharepoint/v3">Schliebner, Ivo &lt;Ivo.Schliebner@uba.de&gt;</EmailFrom>
    <EmailSubject xmlns="http://schemas.microsoft.com/sharepoint/v3">SVHC-Dossiers BaA und CHR</EmailSubject>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F7102F7333964B88728C2BFD724DAE" ma:contentTypeVersion="6" ma:contentTypeDescription="Ein neues Dokument erstellen." ma:contentTypeScope="" ma:versionID="8872b2b07af2e43fa7568b62a8dee24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cc945cd244219d18e62c5a5d6a8a8355"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Absender" ma:hidden="true" ma:internalName="EmailSender">
      <xsd:simpleType>
        <xsd:restriction base="dms:Note">
          <xsd:maxLength value="255"/>
        </xsd:restriction>
      </xsd:simpleType>
    </xsd:element>
    <xsd:element name="EmailTo" ma:index="9" nillable="true" ma:displayName="E-Mail an"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von" ma:hidden="true" ma:internalName="EmailFrom">
      <xsd:simpleType>
        <xsd:restriction base="dms:Text"/>
      </xsd:simpleType>
    </xsd:element>
    <xsd:element name="EmailSubject" ma:index="12" nillable="true" ma:displayName="E-Mail-Betreff"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Kopfzeilen"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4FA8D-8C0F-4176-A3B2-179A5853A8D4}">
  <ds:schemaRefs>
    <ds:schemaRef ds:uri="http://schemas.microsoft.com/sharepoint/v3/contenttype/forms"/>
  </ds:schemaRefs>
</ds:datastoreItem>
</file>

<file path=customXml/itemProps2.xml><?xml version="1.0" encoding="utf-8"?>
<ds:datastoreItem xmlns:ds="http://schemas.openxmlformats.org/officeDocument/2006/customXml" ds:itemID="{646CE269-1E98-411A-A103-D2EC417022C6}">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F9346DA-FBA1-42EC-957D-8167D6A6A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46D0A0-F05C-4F72-9DAC-451E5B527C2D}">
  <ds:schemaRefs>
    <ds:schemaRef ds:uri="http://schemas.microsoft.com/office/2006/metadata/longProperties"/>
  </ds:schemaRefs>
</ds:datastoreItem>
</file>

<file path=customXml/itemProps5.xml><?xml version="1.0" encoding="utf-8"?>
<ds:datastoreItem xmlns:ds="http://schemas.openxmlformats.org/officeDocument/2006/customXml" ds:itemID="{666F7FD8-4EBB-49BA-941B-AAC4DA83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304E7D21.dotm</Template>
  <TotalTime>17</TotalTime>
  <Pages>27</Pages>
  <Words>7585</Words>
  <Characters>46150</Characters>
  <Application>Microsoft Office Word</Application>
  <DocSecurity>0</DocSecurity>
  <Lines>384</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XV report</vt:lpstr>
      <vt:lpstr>Annex XV report</vt:lpstr>
    </vt:vector>
  </TitlesOfParts>
  <Company>European Chemicals Agency</Company>
  <LinksUpToDate>false</LinksUpToDate>
  <CharactersWithSpaces>53628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XV report</dc:title>
  <dc:creator>NORAH OFARRELL</dc:creator>
  <dc:description>Stand 05/2016</dc:description>
  <cp:lastModifiedBy>O'FARRELL Norah</cp:lastModifiedBy>
  <cp:revision>9</cp:revision>
  <cp:lastPrinted>2017-08-23T08:14:00Z</cp:lastPrinted>
  <dcterms:created xsi:type="dcterms:W3CDTF">2017-08-29T14:11:00Z</dcterms:created>
  <dcterms:modified xsi:type="dcterms:W3CDTF">2017-09-01T08:09:00Z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0x0101003AF7102F7333964B88728C2BFD724DAE</vt:lpwstr>
  </property>
</Properties>
</file>