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7F9" w:rsidRDefault="005502F7" w:rsidP="005079BD">
      <w:pPr>
        <w:pStyle w:val="Title"/>
        <w:rPr>
          <w:sz w:val="20"/>
          <w:szCs w:val="20"/>
        </w:rPr>
      </w:pPr>
      <w:bookmarkStart w:id="0" w:name="_GoBack"/>
      <w:bookmarkEnd w:id="0"/>
      <w:r>
        <w:rPr>
          <w:noProof/>
          <w:snapToGrid/>
          <w:sz w:val="20"/>
          <w:szCs w:val="20"/>
          <w:lang w:eastAsia="en-GB"/>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181225" cy="5619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350" w:rsidRDefault="00D52350" w:rsidP="00D667F9">
      <w:pPr>
        <w:pStyle w:val="BodyText"/>
      </w:pPr>
    </w:p>
    <w:p w:rsidR="00D52350" w:rsidRDefault="00D52350" w:rsidP="00D667F9">
      <w:pPr>
        <w:pStyle w:val="BodyText"/>
      </w:pPr>
    </w:p>
    <w:p w:rsidR="00D52350" w:rsidRDefault="00D52350" w:rsidP="00D52350">
      <w:pPr>
        <w:pStyle w:val="Default"/>
      </w:pPr>
    </w:p>
    <w:p w:rsidR="00D52350" w:rsidRDefault="00D52350" w:rsidP="00D52350">
      <w:pPr>
        <w:pStyle w:val="Default"/>
        <w:jc w:val="center"/>
        <w:rPr>
          <w:b/>
          <w:bCs/>
          <w:sz w:val="28"/>
          <w:szCs w:val="28"/>
          <w:lang w:val="en-GB"/>
        </w:rPr>
      </w:pPr>
    </w:p>
    <w:p w:rsidR="00D52350" w:rsidRPr="00D52350" w:rsidRDefault="00D52350" w:rsidP="00D52350">
      <w:pPr>
        <w:pStyle w:val="Default"/>
        <w:jc w:val="center"/>
        <w:rPr>
          <w:sz w:val="28"/>
          <w:szCs w:val="28"/>
          <w:lang w:val="en-GB"/>
        </w:rPr>
      </w:pPr>
      <w:r w:rsidRPr="00D52350">
        <w:rPr>
          <w:b/>
          <w:bCs/>
          <w:sz w:val="28"/>
          <w:szCs w:val="28"/>
          <w:lang w:val="en-GB"/>
        </w:rPr>
        <w:t>Committee for Socio-economic Analysis (SEAC)</w:t>
      </w:r>
    </w:p>
    <w:p w:rsidR="00D52350" w:rsidRDefault="00D52350" w:rsidP="00D52350">
      <w:pPr>
        <w:pStyle w:val="Default"/>
        <w:jc w:val="center"/>
        <w:rPr>
          <w:b/>
          <w:bCs/>
          <w:sz w:val="28"/>
          <w:szCs w:val="28"/>
          <w:lang w:val="en-GB"/>
        </w:rPr>
      </w:pPr>
    </w:p>
    <w:p w:rsidR="00D52350" w:rsidRDefault="00D52350" w:rsidP="00D52350">
      <w:pPr>
        <w:pStyle w:val="Default"/>
        <w:jc w:val="center"/>
        <w:rPr>
          <w:b/>
          <w:bCs/>
          <w:sz w:val="28"/>
          <w:szCs w:val="28"/>
          <w:lang w:val="en-GB"/>
        </w:rPr>
      </w:pPr>
    </w:p>
    <w:p w:rsidR="00D52350" w:rsidRDefault="00D52350" w:rsidP="00D52350">
      <w:pPr>
        <w:pStyle w:val="Default"/>
        <w:jc w:val="center"/>
        <w:rPr>
          <w:b/>
          <w:bCs/>
          <w:sz w:val="28"/>
          <w:szCs w:val="28"/>
          <w:lang w:val="en-GB"/>
        </w:rPr>
      </w:pPr>
    </w:p>
    <w:p w:rsidR="00D52350" w:rsidRDefault="00D52350" w:rsidP="00D52350">
      <w:pPr>
        <w:pStyle w:val="Default"/>
        <w:jc w:val="center"/>
        <w:rPr>
          <w:b/>
          <w:bCs/>
          <w:sz w:val="28"/>
          <w:szCs w:val="28"/>
          <w:lang w:val="en-GB"/>
        </w:rPr>
      </w:pPr>
    </w:p>
    <w:p w:rsidR="00D52350" w:rsidRDefault="00D52350" w:rsidP="00D52350">
      <w:pPr>
        <w:pStyle w:val="Default"/>
        <w:jc w:val="center"/>
        <w:rPr>
          <w:b/>
          <w:bCs/>
          <w:sz w:val="28"/>
          <w:szCs w:val="28"/>
          <w:lang w:val="en-GB"/>
        </w:rPr>
      </w:pPr>
    </w:p>
    <w:p w:rsidR="00D52350" w:rsidRPr="00D52350" w:rsidRDefault="00D52350" w:rsidP="00D52350">
      <w:pPr>
        <w:pStyle w:val="Default"/>
        <w:jc w:val="center"/>
        <w:rPr>
          <w:sz w:val="28"/>
          <w:szCs w:val="28"/>
          <w:lang w:val="en-GB"/>
        </w:rPr>
      </w:pPr>
      <w:r w:rsidRPr="00D52350">
        <w:rPr>
          <w:b/>
          <w:bCs/>
          <w:sz w:val="28"/>
          <w:szCs w:val="28"/>
          <w:lang w:val="en-GB"/>
        </w:rPr>
        <w:t>Response to comments on the SEAC draft</w:t>
      </w:r>
    </w:p>
    <w:p w:rsidR="00D52350" w:rsidRPr="00D52350" w:rsidRDefault="00D52350" w:rsidP="00D52350">
      <w:pPr>
        <w:pStyle w:val="Default"/>
        <w:jc w:val="center"/>
        <w:rPr>
          <w:sz w:val="28"/>
          <w:szCs w:val="28"/>
          <w:lang w:val="en-GB"/>
        </w:rPr>
      </w:pPr>
      <w:r w:rsidRPr="00D52350">
        <w:rPr>
          <w:b/>
          <w:bCs/>
          <w:sz w:val="28"/>
          <w:szCs w:val="28"/>
          <w:lang w:val="en-GB"/>
        </w:rPr>
        <w:t>Opinion</w:t>
      </w:r>
    </w:p>
    <w:p w:rsidR="00D52350" w:rsidRPr="00D52350" w:rsidRDefault="00D52350" w:rsidP="00D52350">
      <w:pPr>
        <w:pStyle w:val="Default"/>
        <w:jc w:val="center"/>
        <w:rPr>
          <w:sz w:val="28"/>
          <w:szCs w:val="28"/>
          <w:lang w:val="en-GB"/>
        </w:rPr>
      </w:pPr>
      <w:r w:rsidRPr="00D52350">
        <w:rPr>
          <w:b/>
          <w:bCs/>
          <w:sz w:val="28"/>
          <w:szCs w:val="28"/>
          <w:lang w:val="en-GB"/>
        </w:rPr>
        <w:t>on the Annex XV dossier proposing</w:t>
      </w:r>
    </w:p>
    <w:p w:rsidR="00D52350" w:rsidRPr="00D52350" w:rsidRDefault="00D52350" w:rsidP="00D52350">
      <w:pPr>
        <w:pStyle w:val="Default"/>
        <w:jc w:val="center"/>
        <w:rPr>
          <w:sz w:val="28"/>
          <w:szCs w:val="28"/>
          <w:lang w:val="en-GB"/>
        </w:rPr>
      </w:pPr>
      <w:r w:rsidRPr="00D52350">
        <w:rPr>
          <w:b/>
          <w:bCs/>
          <w:sz w:val="28"/>
          <w:szCs w:val="28"/>
          <w:lang w:val="en-GB"/>
        </w:rPr>
        <w:t>restrictions on</w:t>
      </w:r>
    </w:p>
    <w:p w:rsidR="00D52350" w:rsidRDefault="00B20157" w:rsidP="00D52350">
      <w:pPr>
        <w:pStyle w:val="Default"/>
        <w:jc w:val="center"/>
        <w:rPr>
          <w:b/>
          <w:bCs/>
          <w:sz w:val="28"/>
          <w:szCs w:val="28"/>
          <w:lang w:val="en-GB"/>
        </w:rPr>
      </w:pPr>
      <w:r w:rsidRPr="00B20157">
        <w:rPr>
          <w:b/>
          <w:bCs/>
          <w:sz w:val="28"/>
          <w:szCs w:val="28"/>
          <w:lang w:val="en-GB"/>
        </w:rPr>
        <w:t>1-methyl-2-pyrrolidone (NMP)</w:t>
      </w:r>
    </w:p>
    <w:p w:rsidR="00D52350" w:rsidRDefault="00D52350" w:rsidP="00D52350">
      <w:pPr>
        <w:pStyle w:val="Default"/>
        <w:jc w:val="center"/>
        <w:rPr>
          <w:b/>
          <w:bCs/>
          <w:sz w:val="28"/>
          <w:szCs w:val="28"/>
          <w:lang w:val="en-GB"/>
        </w:rPr>
      </w:pPr>
    </w:p>
    <w:p w:rsidR="00D52350" w:rsidRDefault="00D52350" w:rsidP="00D52350">
      <w:pPr>
        <w:pStyle w:val="Default"/>
        <w:jc w:val="center"/>
        <w:rPr>
          <w:b/>
          <w:bCs/>
          <w:sz w:val="28"/>
          <w:szCs w:val="28"/>
          <w:lang w:val="en-GB"/>
        </w:rPr>
      </w:pPr>
    </w:p>
    <w:p w:rsidR="00D52350" w:rsidRPr="00D52350" w:rsidRDefault="00D52350" w:rsidP="00D52350">
      <w:pPr>
        <w:pStyle w:val="Default"/>
        <w:jc w:val="center"/>
        <w:rPr>
          <w:sz w:val="28"/>
          <w:szCs w:val="28"/>
          <w:lang w:val="en-GB"/>
        </w:rPr>
      </w:pPr>
    </w:p>
    <w:p w:rsidR="00D52350" w:rsidRDefault="00D52350" w:rsidP="00D52350">
      <w:pPr>
        <w:pStyle w:val="Default"/>
        <w:jc w:val="center"/>
        <w:rPr>
          <w:b/>
          <w:bCs/>
          <w:sz w:val="23"/>
          <w:szCs w:val="23"/>
          <w:lang w:val="en-GB"/>
        </w:rPr>
      </w:pPr>
    </w:p>
    <w:p w:rsidR="00B20157" w:rsidRDefault="00B20157" w:rsidP="00D52350">
      <w:pPr>
        <w:pStyle w:val="Default"/>
        <w:jc w:val="center"/>
        <w:rPr>
          <w:b/>
          <w:bCs/>
          <w:sz w:val="23"/>
          <w:szCs w:val="23"/>
          <w:lang w:val="en-GB"/>
        </w:rPr>
      </w:pPr>
    </w:p>
    <w:p w:rsidR="00D52350" w:rsidRDefault="00D52350" w:rsidP="00D52350">
      <w:pPr>
        <w:pStyle w:val="Default"/>
        <w:jc w:val="center"/>
        <w:rPr>
          <w:b/>
          <w:bCs/>
          <w:sz w:val="23"/>
          <w:szCs w:val="23"/>
          <w:lang w:val="en-GB"/>
        </w:rPr>
      </w:pPr>
    </w:p>
    <w:p w:rsidR="00D52350" w:rsidRDefault="00D52350" w:rsidP="00D52350">
      <w:pPr>
        <w:pStyle w:val="Default"/>
        <w:jc w:val="center"/>
        <w:rPr>
          <w:b/>
          <w:bCs/>
          <w:sz w:val="23"/>
          <w:szCs w:val="23"/>
          <w:lang w:val="en-GB"/>
        </w:rPr>
      </w:pPr>
    </w:p>
    <w:p w:rsidR="00D52350" w:rsidRPr="00D52350" w:rsidRDefault="00D52350" w:rsidP="00D52350">
      <w:pPr>
        <w:pStyle w:val="Default"/>
        <w:jc w:val="center"/>
        <w:rPr>
          <w:sz w:val="23"/>
          <w:szCs w:val="23"/>
          <w:lang w:val="en-GB"/>
        </w:rPr>
      </w:pPr>
    </w:p>
    <w:p w:rsidR="00B20157" w:rsidRDefault="00B20157" w:rsidP="00D52350">
      <w:pPr>
        <w:pStyle w:val="Default"/>
        <w:jc w:val="center"/>
        <w:rPr>
          <w:b/>
          <w:bCs/>
          <w:sz w:val="23"/>
          <w:szCs w:val="23"/>
          <w:lang w:val="en-GB"/>
        </w:rPr>
      </w:pPr>
      <w:r w:rsidRPr="00B20157">
        <w:rPr>
          <w:b/>
          <w:bCs/>
          <w:sz w:val="23"/>
          <w:szCs w:val="23"/>
          <w:lang w:val="en-GB"/>
        </w:rPr>
        <w:t>1-methyl-2-pyrrolidone (NMP)</w:t>
      </w:r>
    </w:p>
    <w:p w:rsidR="00D52350" w:rsidRPr="00D52350" w:rsidRDefault="00D52350" w:rsidP="00D52350">
      <w:pPr>
        <w:pStyle w:val="Default"/>
        <w:jc w:val="center"/>
        <w:rPr>
          <w:sz w:val="23"/>
          <w:szCs w:val="23"/>
          <w:lang w:val="en-GB"/>
        </w:rPr>
      </w:pPr>
      <w:r w:rsidRPr="00D52350">
        <w:rPr>
          <w:b/>
          <w:bCs/>
          <w:sz w:val="23"/>
          <w:szCs w:val="23"/>
          <w:lang w:val="en-GB"/>
        </w:rPr>
        <w:t>EC number: 212-828-1</w:t>
      </w:r>
    </w:p>
    <w:p w:rsidR="00D52350" w:rsidRDefault="00D52350" w:rsidP="00D52350">
      <w:pPr>
        <w:pStyle w:val="BodyText"/>
        <w:jc w:val="center"/>
        <w:rPr>
          <w:b/>
          <w:bCs/>
          <w:sz w:val="23"/>
          <w:szCs w:val="23"/>
        </w:rPr>
      </w:pPr>
      <w:r>
        <w:rPr>
          <w:b/>
          <w:bCs/>
          <w:sz w:val="23"/>
          <w:szCs w:val="23"/>
        </w:rPr>
        <w:t xml:space="preserve">CAS number: </w:t>
      </w:r>
      <w:r w:rsidRPr="00D52350">
        <w:rPr>
          <w:b/>
          <w:bCs/>
          <w:sz w:val="23"/>
          <w:szCs w:val="23"/>
        </w:rPr>
        <w:t>872-50-4</w:t>
      </w:r>
    </w:p>
    <w:p w:rsidR="00D52350" w:rsidRDefault="00D52350" w:rsidP="00D52350">
      <w:pPr>
        <w:pStyle w:val="BodyText"/>
        <w:jc w:val="center"/>
        <w:rPr>
          <w:b/>
          <w:bCs/>
          <w:sz w:val="23"/>
          <w:szCs w:val="23"/>
        </w:rPr>
      </w:pPr>
    </w:p>
    <w:p w:rsidR="00D52350" w:rsidRDefault="00D52350" w:rsidP="00D52350">
      <w:pPr>
        <w:pStyle w:val="BodyText"/>
        <w:jc w:val="center"/>
        <w:rPr>
          <w:b/>
          <w:bCs/>
          <w:sz w:val="23"/>
          <w:szCs w:val="23"/>
        </w:rPr>
      </w:pPr>
    </w:p>
    <w:p w:rsidR="00D52350" w:rsidRDefault="00D52350" w:rsidP="00D52350">
      <w:pPr>
        <w:pStyle w:val="BodyText"/>
        <w:jc w:val="center"/>
        <w:rPr>
          <w:b/>
          <w:bCs/>
          <w:sz w:val="23"/>
          <w:szCs w:val="23"/>
        </w:rPr>
      </w:pPr>
    </w:p>
    <w:p w:rsidR="00D52350" w:rsidRDefault="00D52350" w:rsidP="00D52350">
      <w:pPr>
        <w:pStyle w:val="BodyText"/>
        <w:jc w:val="center"/>
        <w:rPr>
          <w:b/>
          <w:bCs/>
          <w:sz w:val="23"/>
          <w:szCs w:val="23"/>
        </w:rPr>
      </w:pPr>
    </w:p>
    <w:p w:rsidR="00D52350" w:rsidRDefault="00D52350" w:rsidP="00D52350">
      <w:pPr>
        <w:pStyle w:val="BodyText"/>
        <w:jc w:val="center"/>
      </w:pPr>
      <w:r>
        <w:rPr>
          <w:b/>
          <w:bCs/>
          <w:sz w:val="23"/>
          <w:szCs w:val="23"/>
        </w:rPr>
        <w:t>2</w:t>
      </w:r>
      <w:r w:rsidR="00035E2C">
        <w:rPr>
          <w:b/>
          <w:bCs/>
          <w:sz w:val="23"/>
          <w:szCs w:val="23"/>
        </w:rPr>
        <w:t>5</w:t>
      </w:r>
      <w:r>
        <w:rPr>
          <w:b/>
          <w:bCs/>
          <w:sz w:val="23"/>
          <w:szCs w:val="23"/>
        </w:rPr>
        <w:t xml:space="preserve"> November 2014</w:t>
      </w:r>
    </w:p>
    <w:p w:rsidR="00D52350" w:rsidRDefault="00D52350" w:rsidP="00D667F9">
      <w:pPr>
        <w:pStyle w:val="BodyText"/>
      </w:pPr>
    </w:p>
    <w:p w:rsidR="00D52350" w:rsidRDefault="00D52350" w:rsidP="00D667F9">
      <w:pPr>
        <w:pStyle w:val="BodyText"/>
        <w:sectPr w:rsidR="00D52350" w:rsidSect="00D667F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D667F9" w:rsidRDefault="00D667F9" w:rsidP="00D667F9">
      <w:pPr>
        <w:pStyle w:val="BodyText"/>
        <w:rPr>
          <w:rFonts w:cs="Arial"/>
          <w:color w:val="0046AD"/>
        </w:rPr>
      </w:pPr>
    </w:p>
    <w:p w:rsidR="005C4EAC" w:rsidRPr="00AF6E2D" w:rsidRDefault="00861D1F" w:rsidP="005079BD">
      <w:pPr>
        <w:pStyle w:val="Title"/>
        <w:rPr>
          <w:sz w:val="20"/>
          <w:szCs w:val="20"/>
        </w:rPr>
      </w:pPr>
      <w:r w:rsidRPr="00AF6E2D">
        <w:rPr>
          <w:sz w:val="20"/>
          <w:szCs w:val="20"/>
        </w:rPr>
        <w:t>Comments on the SEAC draft opinion</w:t>
      </w:r>
    </w:p>
    <w:tbl>
      <w:tblPr>
        <w:tblStyle w:val="TableGrid"/>
        <w:tblW w:w="0" w:type="auto"/>
        <w:tblLayout w:type="fixed"/>
        <w:tblLook w:val="04A0" w:firstRow="1" w:lastRow="0" w:firstColumn="1" w:lastColumn="0" w:noHBand="0" w:noVBand="1"/>
      </w:tblPr>
      <w:tblGrid>
        <w:gridCol w:w="817"/>
        <w:gridCol w:w="2693"/>
        <w:gridCol w:w="10620"/>
        <w:gridCol w:w="12"/>
      </w:tblGrid>
      <w:tr w:rsidR="003B6D57" w:rsidRPr="00AF6E2D" w:rsidTr="00452DEB">
        <w:trPr>
          <w:gridAfter w:val="1"/>
          <w:wAfter w:w="12" w:type="dxa"/>
        </w:trPr>
        <w:tc>
          <w:tcPr>
            <w:tcW w:w="817" w:type="dxa"/>
          </w:tcPr>
          <w:p w:rsidR="003B6D57" w:rsidRPr="00AF6E2D" w:rsidRDefault="003B6D57" w:rsidP="001F4FCE">
            <w:pPr>
              <w:rPr>
                <w:rFonts w:ascii="Verdana" w:hAnsi="Verdana"/>
                <w:b/>
                <w:sz w:val="20"/>
                <w:szCs w:val="20"/>
              </w:rPr>
            </w:pPr>
            <w:r w:rsidRPr="00AF6E2D">
              <w:rPr>
                <w:rFonts w:ascii="Verdana" w:hAnsi="Verdana"/>
                <w:b/>
                <w:sz w:val="20"/>
                <w:szCs w:val="20"/>
              </w:rPr>
              <w:t>Ref.</w:t>
            </w:r>
          </w:p>
        </w:tc>
        <w:tc>
          <w:tcPr>
            <w:tcW w:w="2693" w:type="dxa"/>
          </w:tcPr>
          <w:p w:rsidR="003B6D57" w:rsidRPr="00AF6E2D" w:rsidRDefault="003B6D57" w:rsidP="003B6D57">
            <w:pPr>
              <w:rPr>
                <w:rFonts w:ascii="Verdana" w:hAnsi="Verdana"/>
                <w:b/>
                <w:sz w:val="20"/>
                <w:szCs w:val="20"/>
              </w:rPr>
            </w:pPr>
            <w:r w:rsidRPr="00AF6E2D">
              <w:rPr>
                <w:rFonts w:ascii="Verdana" w:hAnsi="Verdana"/>
                <w:b/>
                <w:sz w:val="20"/>
                <w:szCs w:val="20"/>
              </w:rPr>
              <w:t>Date/</w:t>
            </w:r>
            <w:r w:rsidR="0062477D" w:rsidRPr="00AF6E2D">
              <w:rPr>
                <w:rFonts w:ascii="Verdana" w:hAnsi="Verdana"/>
                <w:b/>
                <w:sz w:val="20"/>
                <w:szCs w:val="20"/>
              </w:rPr>
              <w:t>Type/Country</w:t>
            </w:r>
          </w:p>
          <w:p w:rsidR="003B6D57" w:rsidRPr="00AF6E2D" w:rsidRDefault="003B6D57" w:rsidP="001F4FCE">
            <w:pPr>
              <w:rPr>
                <w:rFonts w:ascii="Verdana" w:hAnsi="Verdana"/>
                <w:b/>
                <w:sz w:val="20"/>
                <w:szCs w:val="20"/>
              </w:rPr>
            </w:pPr>
          </w:p>
        </w:tc>
        <w:tc>
          <w:tcPr>
            <w:tcW w:w="10620" w:type="dxa"/>
          </w:tcPr>
          <w:p w:rsidR="003B6D57" w:rsidRPr="00AF6E2D" w:rsidRDefault="003B6D57" w:rsidP="001F4FCE">
            <w:pPr>
              <w:rPr>
                <w:rFonts w:ascii="Verdana" w:hAnsi="Verdana"/>
                <w:b/>
                <w:sz w:val="20"/>
                <w:szCs w:val="20"/>
              </w:rPr>
            </w:pPr>
            <w:r w:rsidRPr="00AF6E2D">
              <w:rPr>
                <w:rFonts w:ascii="Verdana" w:hAnsi="Verdana"/>
                <w:b/>
                <w:sz w:val="20"/>
                <w:szCs w:val="20"/>
              </w:rPr>
              <w:t>Comments</w:t>
            </w:r>
          </w:p>
        </w:tc>
      </w:tr>
      <w:tr w:rsidR="00AF6E2D" w:rsidRPr="00AF6E2D" w:rsidTr="00452DEB">
        <w:tc>
          <w:tcPr>
            <w:tcW w:w="817" w:type="dxa"/>
            <w:vMerge w:val="restart"/>
          </w:tcPr>
          <w:p w:rsidR="00AF6E2D" w:rsidRPr="00AF6E2D" w:rsidRDefault="00AF6E2D" w:rsidP="001F4FCE">
            <w:pPr>
              <w:rPr>
                <w:rFonts w:ascii="Verdana" w:hAnsi="Verdana"/>
                <w:sz w:val="20"/>
                <w:szCs w:val="20"/>
              </w:rPr>
            </w:pPr>
            <w:r w:rsidRPr="00AF6E2D">
              <w:rPr>
                <w:rFonts w:ascii="Verdana" w:hAnsi="Verdana"/>
                <w:noProof/>
                <w:sz w:val="20"/>
                <w:szCs w:val="20"/>
              </w:rPr>
              <w:t>127</w:t>
            </w:r>
          </w:p>
        </w:tc>
        <w:tc>
          <w:tcPr>
            <w:tcW w:w="2693" w:type="dxa"/>
            <w:vMerge w:val="restart"/>
          </w:tcPr>
          <w:p w:rsidR="00AF6E2D" w:rsidRPr="00AF6E2D" w:rsidRDefault="00AF6E2D" w:rsidP="001F4FCE">
            <w:pPr>
              <w:rPr>
                <w:rFonts w:ascii="Verdana" w:hAnsi="Verdana"/>
                <w:sz w:val="20"/>
                <w:szCs w:val="20"/>
              </w:rPr>
            </w:pPr>
            <w:r w:rsidRPr="00AF6E2D">
              <w:rPr>
                <w:rFonts w:ascii="Verdana" w:hAnsi="Verdana"/>
                <w:b/>
                <w:sz w:val="20"/>
                <w:szCs w:val="20"/>
              </w:rPr>
              <w:t>Date/Time:</w:t>
            </w:r>
            <w:r w:rsidRPr="00AF6E2D">
              <w:rPr>
                <w:rFonts w:ascii="Verdana" w:hAnsi="Verdana"/>
                <w:sz w:val="20"/>
                <w:szCs w:val="20"/>
              </w:rPr>
              <w:t xml:space="preserve"> </w:t>
            </w:r>
            <w:r w:rsidRPr="00AF6E2D">
              <w:rPr>
                <w:rFonts w:ascii="Verdana" w:hAnsi="Verdana"/>
                <w:noProof/>
                <w:sz w:val="20"/>
                <w:szCs w:val="20"/>
              </w:rPr>
              <w:t>2014/11/07 18:20</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r w:rsidRPr="00AF6E2D">
              <w:rPr>
                <w:rFonts w:ascii="Verdana" w:hAnsi="Verdana"/>
                <w:b/>
                <w:sz w:val="20"/>
                <w:szCs w:val="20"/>
              </w:rPr>
              <w:t>Type:</w:t>
            </w:r>
            <w:r w:rsidRPr="00AF6E2D">
              <w:rPr>
                <w:rFonts w:ascii="Verdana" w:hAnsi="Verdana"/>
                <w:sz w:val="20"/>
                <w:szCs w:val="20"/>
              </w:rPr>
              <w:t xml:space="preserve"> </w:t>
            </w:r>
            <w:r w:rsidRPr="00AF6E2D">
              <w:rPr>
                <w:rFonts w:ascii="Verdana" w:hAnsi="Verdana"/>
                <w:noProof/>
                <w:sz w:val="20"/>
                <w:szCs w:val="20"/>
              </w:rPr>
              <w:t>Industry or trade association</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noProof/>
                <w:sz w:val="20"/>
                <w:szCs w:val="20"/>
              </w:rPr>
            </w:pPr>
            <w:r w:rsidRPr="00AF6E2D">
              <w:rPr>
                <w:rFonts w:ascii="Verdana" w:hAnsi="Verdana"/>
                <w:b/>
                <w:sz w:val="20"/>
                <w:szCs w:val="20"/>
              </w:rPr>
              <w:t xml:space="preserve">Country: </w:t>
            </w:r>
            <w:r w:rsidRPr="00AF6E2D">
              <w:rPr>
                <w:rFonts w:ascii="Verdana" w:hAnsi="Verdana"/>
                <w:noProof/>
                <w:sz w:val="20"/>
                <w:szCs w:val="20"/>
              </w:rPr>
              <w:t>Belgium</w:t>
            </w:r>
          </w:p>
          <w:p w:rsidR="00AF6E2D" w:rsidRPr="00AF6E2D" w:rsidRDefault="00AF6E2D" w:rsidP="001F4FCE">
            <w:pPr>
              <w:rPr>
                <w:rFonts w:ascii="Verdana" w:hAnsi="Verdana"/>
                <w:noProof/>
                <w:sz w:val="20"/>
                <w:szCs w:val="20"/>
              </w:rPr>
            </w:pPr>
          </w:p>
          <w:p w:rsidR="00AF6E2D" w:rsidRPr="00AF6E2D" w:rsidRDefault="00AF6E2D" w:rsidP="001F4FCE">
            <w:pPr>
              <w:rPr>
                <w:rFonts w:ascii="Verdana" w:hAnsi="Verdana"/>
                <w:sz w:val="20"/>
                <w:szCs w:val="20"/>
              </w:rPr>
            </w:pPr>
            <w:r w:rsidRPr="00AF6E2D">
              <w:rPr>
                <w:rFonts w:ascii="Verdana" w:hAnsi="Verdana"/>
                <w:b/>
                <w:noProof/>
                <w:sz w:val="20"/>
                <w:szCs w:val="20"/>
              </w:rPr>
              <w:t xml:space="preserve">Name confidential: </w:t>
            </w:r>
            <w:r w:rsidRPr="00AF6E2D">
              <w:rPr>
                <w:rFonts w:ascii="Verdana" w:hAnsi="Verdana"/>
                <w:noProof/>
                <w:sz w:val="20"/>
                <w:szCs w:val="20"/>
              </w:rPr>
              <w:t>False</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p>
        </w:tc>
        <w:tc>
          <w:tcPr>
            <w:tcW w:w="10632" w:type="dxa"/>
            <w:gridSpan w:val="2"/>
          </w:tcPr>
          <w:p w:rsidR="00AF6E2D" w:rsidRPr="00AF6E2D" w:rsidRDefault="00AF6E2D" w:rsidP="001F4FCE">
            <w:pPr>
              <w:rPr>
                <w:rFonts w:ascii="Verdana" w:hAnsi="Verdana"/>
                <w:b/>
                <w:sz w:val="20"/>
                <w:szCs w:val="20"/>
              </w:rPr>
            </w:pPr>
            <w:r w:rsidRPr="00AF6E2D">
              <w:rPr>
                <w:rFonts w:ascii="Verdana" w:hAnsi="Verdana"/>
                <w:b/>
                <w:sz w:val="20"/>
                <w:szCs w:val="20"/>
              </w:rPr>
              <w:t>Comment:</w:t>
            </w:r>
          </w:p>
          <w:p w:rsidR="00AF6E2D" w:rsidRPr="00AF6E2D" w:rsidRDefault="00AF6E2D" w:rsidP="001F4FCE">
            <w:pPr>
              <w:rPr>
                <w:rFonts w:ascii="Verdana" w:hAnsi="Verdana"/>
                <w:noProof/>
                <w:sz w:val="20"/>
                <w:szCs w:val="20"/>
              </w:rPr>
            </w:pPr>
            <w:r w:rsidRPr="00AF6E2D">
              <w:rPr>
                <w:rFonts w:ascii="Verdana" w:hAnsi="Verdana"/>
                <w:noProof/>
                <w:sz w:val="20"/>
                <w:szCs w:val="20"/>
              </w:rPr>
              <w:t>1) NMP is critical for the semiconductor industry in Europe. The industry strongly depends on the availability of this chemical to manufacture semiconductor devices. Any disproportionate restriction or ban of the substance could jeopardise this manufacturing continuity in Europe. The industry uses NMP in safe and responsible manner as outlined in the draft restriction dossier. Any future potential demonstration of compliance should not add excessive or disproportionate burdens nor be outside of REACH and must be in line with current national worker protection legal requirements.</w:t>
            </w:r>
          </w:p>
          <w:p w:rsidR="00AF6E2D" w:rsidRPr="00AF6E2D" w:rsidRDefault="00AF6E2D" w:rsidP="001F4FCE">
            <w:pPr>
              <w:rPr>
                <w:rFonts w:ascii="Verdana" w:hAnsi="Verdana"/>
                <w:noProof/>
                <w:sz w:val="20"/>
                <w:szCs w:val="20"/>
              </w:rPr>
            </w:pPr>
            <w:r w:rsidRPr="00AF6E2D">
              <w:rPr>
                <w:rFonts w:ascii="Verdana" w:hAnsi="Verdana"/>
                <w:noProof/>
                <w:sz w:val="20"/>
                <w:szCs w:val="20"/>
              </w:rPr>
              <w:t>2) The continued manufacture and supply of NMP to European end industrial user sectors such as the semiconductor industry can be gravely affected if a disproportionately burdensome risk management option (RMO) for all parts of the manufacturing and supply chain is selected. Both the direct and indirect business impact of the RMO need to be considered adequately and carefully for the manufacture, formulation and end industrial use. The industry would feel that the RMO and final DNEL level chosen in the restriction should balance appropriately the broader socioeconomic issues of NMP with how the risk is managed. The semiconductor manufacturing sector cannot speak to the fact of whether the industry’s direct supply chain and its formulators can meet this restriction proposal with a potential subsequent disruption of the supply chain.</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3) The industry strongly believes that the restriction route as modified by RAC is an effective way to manage the NMP substance under REACH. For clarity purposes the industry believes that the authorisation option should now not be taken forward for this substance as the overall risk is managed under the restriction annex XVII listing. We would like to express, that a disproportionately burdensome regulatory measure (i.e. authorisation) that would limit the semiconductor sector’s ability to use NMP, would lead to significant business consequences for the sector without any commensurate benefit for human health or the environment from the semiconductor use.  </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4) Under the current wording of the modified RAC proposal it should be noted that downstream user industries, as not being a registrant typically under REACH, will apply the exposure scenario annexed in the SDS by the actual registrant. The final conditions of restriction wording should include  the wording - downstream users who are themselves registrants. The final restriction wording should also state that the DNEL shall be used in their chemical safety assessments documented in chemical safety </w:t>
            </w:r>
            <w:r w:rsidRPr="00AF6E2D">
              <w:rPr>
                <w:rFonts w:ascii="Verdana" w:hAnsi="Verdana"/>
                <w:noProof/>
                <w:sz w:val="20"/>
                <w:szCs w:val="20"/>
              </w:rPr>
              <w:lastRenderedPageBreak/>
              <w:t>reports and in safety data sheets. Semiconductor industry would propose following word modifications with the proposed conditions of restriction just to add more clarity:</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Manufacturers, importers and downstream users (where DU are registrant of the substance also) of the substance on its own or in mixtures in a concentration equal or greater than 0.3% shall use in their chemical safety assessment documented in chemical safety reports and safety data sheets by [xx.yy.zzzz] a Derived No Effect Level (DNEL) value for workers inhalation of 10 mg/m3and a DNEL for workers dermal exposure of 4.8 mg/kg/day. </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Restriction conditions foresee that no further enforcement activities are required due to the implementation of the restriction beyond the usual chemical safety reports, SDSs and ensuring that recommended risk management measures are implemented by downstream user. </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5) The semiconductor sector would like to comment that any eventual demonstration of compliance with the restriction remains undefined. Any future potential demonstration of compliance should not add excessive or disproportionate burdens nor be outside of REACH and must be in line with current national worker protection legal requirements. Any future demonstration of compliance with the restriction and with relevant exposure scenarios should not induce more monitoring efforts than those currently performed under the EU workers protection legislation. In this regard the industry welcomes the view on page 15 of the SEAC draft opinion that no further enforcement activities are required “Should the restriction based on the RAC-modified proposal be included in the Annex XVII, the enforcement would follow the same procedures as is normally used with regard to development of CSRs, SDS’s and ensuring that the recommended risk management measures are implemented by the downstream user. Therefore no further enforcement activities are required due to the implementation of such restriction.” </w:t>
            </w:r>
          </w:p>
          <w:p w:rsidR="00AF6E2D" w:rsidRPr="00AF6E2D" w:rsidRDefault="00AF6E2D" w:rsidP="001F4FCE">
            <w:pPr>
              <w:rPr>
                <w:rFonts w:ascii="Verdana" w:hAnsi="Verdana"/>
                <w:noProof/>
                <w:sz w:val="20"/>
                <w:szCs w:val="20"/>
              </w:rPr>
            </w:pPr>
            <w:r w:rsidRPr="00AF6E2D">
              <w:rPr>
                <w:rFonts w:ascii="Verdana" w:hAnsi="Verdana"/>
                <w:noProof/>
                <w:sz w:val="20"/>
                <w:szCs w:val="20"/>
              </w:rPr>
              <w:t>6) The semiconductor manufacturing industry sector employs stringent risk management measures and safety practices to prevent NMP release at a manufacturing process level thus preventing worker exposure. The semiconductor sector uses NMP in a safe and highly controlled way. Stringent risk mitigation measures are in place as standard, such as closed systems. Uses of NMP take place in batch processes in dedicated process equipment tool in a controlled environment, i.e. the clean room. Potential risk is typically eliminated and controlled through the application of enclosed manufacturing equipment. Besides, automated chemical delivery systems are installed to create a barrier between workers and the process and protect against chemical and physical hazards in the work environment. Continuous local and equipment exhaust ventilation under alarm are also present.</w:t>
            </w:r>
          </w:p>
          <w:p w:rsidR="00AF6E2D" w:rsidRPr="00AF6E2D" w:rsidRDefault="00AF6E2D" w:rsidP="001F4FCE">
            <w:pPr>
              <w:rPr>
                <w:rFonts w:ascii="Verdana" w:hAnsi="Verdana"/>
                <w:noProof/>
                <w:sz w:val="20"/>
                <w:szCs w:val="20"/>
              </w:rPr>
            </w:pPr>
            <w:r w:rsidRPr="00AF6E2D">
              <w:rPr>
                <w:rFonts w:ascii="Verdana" w:hAnsi="Verdana"/>
                <w:noProof/>
                <w:sz w:val="20"/>
                <w:szCs w:val="20"/>
              </w:rPr>
              <w:t>7) The SEAC draft opinion does not include concerns relating to socioeconomic impacts of the measure at a global level. The European semiconductor industry like many affected sectors competes globally. The industry’s global competitors do not have comparable legislation on such an important material as NMP in their jurisdictions. ECHA Reach measures will not contribute to a level playing field globally and it is imperative that no disproportionate burdensome compliance measures are applied.</w:t>
            </w:r>
          </w:p>
          <w:p w:rsidR="00AF6E2D" w:rsidRPr="00AF6E2D" w:rsidRDefault="00AF6E2D" w:rsidP="001F4FCE">
            <w:pPr>
              <w:rPr>
                <w:rFonts w:ascii="Verdana" w:hAnsi="Verdana"/>
                <w:sz w:val="20"/>
                <w:szCs w:val="20"/>
              </w:rPr>
            </w:pPr>
          </w:p>
        </w:tc>
      </w:tr>
      <w:tr w:rsidR="00AF6E2D" w:rsidRPr="00AF6E2D" w:rsidTr="00452DEB">
        <w:tc>
          <w:tcPr>
            <w:tcW w:w="817" w:type="dxa"/>
            <w:vMerge/>
          </w:tcPr>
          <w:p w:rsidR="00AF6E2D" w:rsidRPr="00AF6E2D" w:rsidRDefault="00AF6E2D" w:rsidP="001F4FCE">
            <w:pPr>
              <w:rPr>
                <w:rFonts w:ascii="Verdana" w:hAnsi="Verdana"/>
                <w:sz w:val="20"/>
                <w:szCs w:val="20"/>
              </w:rPr>
            </w:pPr>
          </w:p>
        </w:tc>
        <w:tc>
          <w:tcPr>
            <w:tcW w:w="2693" w:type="dxa"/>
            <w:vMerge/>
          </w:tcPr>
          <w:p w:rsidR="00AF6E2D" w:rsidRPr="00AF6E2D" w:rsidRDefault="00AF6E2D" w:rsidP="001F4FCE">
            <w:pPr>
              <w:rPr>
                <w:rFonts w:ascii="Verdana" w:hAnsi="Verdana"/>
                <w:b/>
                <w:sz w:val="20"/>
                <w:szCs w:val="20"/>
              </w:rPr>
            </w:pPr>
          </w:p>
        </w:tc>
        <w:tc>
          <w:tcPr>
            <w:tcW w:w="10632" w:type="dxa"/>
            <w:gridSpan w:val="2"/>
          </w:tcPr>
          <w:p w:rsidR="00AF6E2D" w:rsidRDefault="00AF6E2D" w:rsidP="001F4FCE">
            <w:pPr>
              <w:rPr>
                <w:rFonts w:ascii="Verdana" w:hAnsi="Verdana"/>
                <w:b/>
                <w:sz w:val="20"/>
                <w:szCs w:val="20"/>
              </w:rPr>
            </w:pPr>
            <w:r w:rsidRPr="00AF6E2D">
              <w:rPr>
                <w:rFonts w:ascii="Verdana" w:hAnsi="Verdana"/>
                <w:b/>
                <w:sz w:val="20"/>
                <w:szCs w:val="20"/>
              </w:rPr>
              <w:t>SEAC Rapporteurs response</w:t>
            </w:r>
          </w:p>
          <w:p w:rsidR="001F4FCE" w:rsidRPr="001F4FCE" w:rsidRDefault="001F4FCE" w:rsidP="001F4FCE">
            <w:pPr>
              <w:rPr>
                <w:rFonts w:ascii="Verdana" w:hAnsi="Verdana"/>
                <w:sz w:val="20"/>
                <w:szCs w:val="20"/>
              </w:rPr>
            </w:pPr>
            <w:r>
              <w:rPr>
                <w:rFonts w:ascii="Verdana" w:hAnsi="Verdana"/>
                <w:sz w:val="20"/>
                <w:szCs w:val="20"/>
              </w:rPr>
              <w:t>Thank you for your comment</w:t>
            </w:r>
            <w:r w:rsidR="001A1D43">
              <w:rPr>
                <w:rFonts w:ascii="Verdana" w:hAnsi="Verdana"/>
                <w:sz w:val="20"/>
                <w:szCs w:val="20"/>
              </w:rPr>
              <w:t xml:space="preserve"> and support to the draft opinion</w:t>
            </w:r>
            <w:r>
              <w:rPr>
                <w:rFonts w:ascii="Verdana" w:hAnsi="Verdana"/>
                <w:sz w:val="20"/>
                <w:szCs w:val="20"/>
              </w:rPr>
              <w:t xml:space="preserve">. We note that it should be possible for the semiconductor industry to comply with the proposed restriction. With regard to </w:t>
            </w:r>
            <w:r w:rsidR="00F02B4D">
              <w:rPr>
                <w:rFonts w:ascii="Verdana" w:hAnsi="Verdana"/>
                <w:sz w:val="20"/>
                <w:szCs w:val="20"/>
              </w:rPr>
              <w:t xml:space="preserve">the </w:t>
            </w:r>
            <w:r>
              <w:rPr>
                <w:rFonts w:ascii="Verdana" w:hAnsi="Verdana"/>
                <w:sz w:val="20"/>
                <w:szCs w:val="20"/>
              </w:rPr>
              <w:t xml:space="preserve">level of the derived DNEL, this is as a matter of principle not to be influenced by socio-economic considerations. In our opinion we assess the socio-economic consequences of </w:t>
            </w:r>
            <w:r w:rsidR="001A1D43">
              <w:rPr>
                <w:rFonts w:ascii="Verdana" w:hAnsi="Verdana"/>
                <w:sz w:val="20"/>
                <w:szCs w:val="20"/>
              </w:rPr>
              <w:t>ensuring that the exposure does not exceed the DNEL value.</w:t>
            </w:r>
            <w:r>
              <w:rPr>
                <w:rFonts w:ascii="Verdana" w:hAnsi="Verdana"/>
                <w:sz w:val="20"/>
                <w:szCs w:val="20"/>
              </w:rPr>
              <w:t xml:space="preserve"> </w:t>
            </w:r>
            <w:r w:rsidR="001A1D43">
              <w:rPr>
                <w:rFonts w:ascii="Verdana" w:hAnsi="Verdana"/>
                <w:sz w:val="20"/>
                <w:szCs w:val="20"/>
              </w:rPr>
              <w:t>T</w:t>
            </w:r>
            <w:r w:rsidR="00F02B4D">
              <w:rPr>
                <w:rFonts w:ascii="Verdana" w:hAnsi="Verdana"/>
                <w:sz w:val="20"/>
                <w:szCs w:val="20"/>
              </w:rPr>
              <w:t>he comment on the specific wordi</w:t>
            </w:r>
            <w:r w:rsidR="001A1D43">
              <w:rPr>
                <w:rFonts w:ascii="Verdana" w:hAnsi="Verdana"/>
                <w:sz w:val="20"/>
                <w:szCs w:val="20"/>
              </w:rPr>
              <w:t xml:space="preserve">ng of the restriction is forwarded to the Commission for further considerations </w:t>
            </w:r>
            <w:r w:rsidR="0003616B">
              <w:t xml:space="preserve">as </w:t>
            </w:r>
            <w:r w:rsidR="0003616B" w:rsidRPr="00E65589">
              <w:rPr>
                <w:rFonts w:ascii="Verdana" w:hAnsi="Verdana"/>
                <w:sz w:val="20"/>
                <w:szCs w:val="20"/>
              </w:rPr>
              <w:t>the wording of the Annex XVII entry is decided on by the Commission</w:t>
            </w:r>
            <w:r w:rsidR="001A1D43">
              <w:rPr>
                <w:rFonts w:ascii="Verdana" w:hAnsi="Verdana"/>
                <w:sz w:val="20"/>
                <w:szCs w:val="20"/>
              </w:rPr>
              <w:t>. With regard to the socio-economic impacts on global level, this</w:t>
            </w:r>
            <w:r w:rsidR="003A797F">
              <w:rPr>
                <w:rFonts w:ascii="Verdana" w:hAnsi="Verdana"/>
                <w:sz w:val="20"/>
                <w:szCs w:val="20"/>
              </w:rPr>
              <w:t xml:space="preserve"> is relevant for SEAC, and is also an important factor for not supporting a total ban (RMO1). The length of the transitional period of 5 years is reflecting that industry should have </w:t>
            </w:r>
            <w:r w:rsidR="003A797F" w:rsidRPr="00B12637">
              <w:rPr>
                <w:rFonts w:ascii="Verdana" w:hAnsi="Verdana"/>
                <w:sz w:val="20"/>
                <w:szCs w:val="20"/>
              </w:rPr>
              <w:t xml:space="preserve">sufficient time to be able </w:t>
            </w:r>
            <w:r w:rsidR="00AB2487">
              <w:rPr>
                <w:rFonts w:ascii="Verdana" w:hAnsi="Verdana"/>
                <w:sz w:val="20"/>
                <w:szCs w:val="20"/>
              </w:rPr>
              <w:t xml:space="preserve">to adjust </w:t>
            </w:r>
            <w:r w:rsidR="003A797F" w:rsidRPr="00B12637">
              <w:rPr>
                <w:rFonts w:ascii="Verdana" w:hAnsi="Verdana"/>
                <w:sz w:val="20"/>
                <w:szCs w:val="20"/>
              </w:rPr>
              <w:t>to international competition</w:t>
            </w:r>
            <w:r w:rsidR="003A797F">
              <w:rPr>
                <w:rFonts w:ascii="Verdana" w:hAnsi="Verdana"/>
                <w:sz w:val="20"/>
                <w:szCs w:val="20"/>
              </w:rPr>
              <w:t xml:space="preserve">. </w:t>
            </w:r>
          </w:p>
          <w:p w:rsidR="00AF6E2D" w:rsidRPr="00AF6E2D" w:rsidRDefault="00AF6E2D" w:rsidP="001F4FCE">
            <w:pPr>
              <w:rPr>
                <w:rFonts w:ascii="Verdana" w:hAnsi="Verdana"/>
                <w:b/>
                <w:sz w:val="20"/>
                <w:szCs w:val="20"/>
              </w:rPr>
            </w:pPr>
          </w:p>
          <w:p w:rsidR="00AF6E2D" w:rsidRPr="00AF6E2D" w:rsidRDefault="00AF6E2D" w:rsidP="001F4FCE">
            <w:pPr>
              <w:rPr>
                <w:rFonts w:ascii="Verdana" w:hAnsi="Verdana"/>
                <w:sz w:val="20"/>
                <w:szCs w:val="20"/>
              </w:rPr>
            </w:pPr>
          </w:p>
        </w:tc>
      </w:tr>
      <w:tr w:rsidR="00AF6E2D" w:rsidRPr="00AF6E2D" w:rsidTr="00452DEB">
        <w:tc>
          <w:tcPr>
            <w:tcW w:w="817" w:type="dxa"/>
            <w:vMerge w:val="restart"/>
          </w:tcPr>
          <w:p w:rsidR="00AF6E2D" w:rsidRPr="00AF6E2D" w:rsidRDefault="00AF6E2D" w:rsidP="001F4FCE">
            <w:pPr>
              <w:rPr>
                <w:rFonts w:ascii="Verdana" w:hAnsi="Verdana"/>
                <w:sz w:val="20"/>
                <w:szCs w:val="20"/>
              </w:rPr>
            </w:pPr>
            <w:r w:rsidRPr="00AF6E2D">
              <w:rPr>
                <w:rFonts w:ascii="Verdana" w:hAnsi="Verdana"/>
                <w:noProof/>
                <w:sz w:val="20"/>
                <w:szCs w:val="20"/>
              </w:rPr>
              <w:t>117</w:t>
            </w:r>
          </w:p>
        </w:tc>
        <w:tc>
          <w:tcPr>
            <w:tcW w:w="2693" w:type="dxa"/>
            <w:vMerge w:val="restart"/>
          </w:tcPr>
          <w:p w:rsidR="00AF6E2D" w:rsidRPr="00AF6E2D" w:rsidRDefault="00AF6E2D" w:rsidP="001F4FCE">
            <w:pPr>
              <w:rPr>
                <w:rFonts w:ascii="Verdana" w:hAnsi="Verdana"/>
                <w:sz w:val="20"/>
                <w:szCs w:val="20"/>
              </w:rPr>
            </w:pPr>
            <w:r w:rsidRPr="00AF6E2D">
              <w:rPr>
                <w:rFonts w:ascii="Verdana" w:hAnsi="Verdana"/>
                <w:b/>
                <w:sz w:val="20"/>
                <w:szCs w:val="20"/>
              </w:rPr>
              <w:t>Date/Time:</w:t>
            </w:r>
            <w:r w:rsidRPr="00AF6E2D">
              <w:rPr>
                <w:rFonts w:ascii="Verdana" w:hAnsi="Verdana"/>
                <w:sz w:val="20"/>
                <w:szCs w:val="20"/>
              </w:rPr>
              <w:t xml:space="preserve"> </w:t>
            </w:r>
            <w:r w:rsidRPr="00AF6E2D">
              <w:rPr>
                <w:rFonts w:ascii="Verdana" w:hAnsi="Verdana"/>
                <w:noProof/>
                <w:sz w:val="20"/>
                <w:szCs w:val="20"/>
              </w:rPr>
              <w:t>2014/11/12 17:01</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r w:rsidRPr="00AF6E2D">
              <w:rPr>
                <w:rFonts w:ascii="Verdana" w:hAnsi="Verdana"/>
                <w:b/>
                <w:sz w:val="20"/>
                <w:szCs w:val="20"/>
              </w:rPr>
              <w:t>Type:</w:t>
            </w:r>
            <w:r w:rsidRPr="00AF6E2D">
              <w:rPr>
                <w:rFonts w:ascii="Verdana" w:hAnsi="Verdana"/>
                <w:sz w:val="20"/>
                <w:szCs w:val="20"/>
              </w:rPr>
              <w:t xml:space="preserve"> </w:t>
            </w:r>
            <w:r w:rsidRPr="00AF6E2D">
              <w:rPr>
                <w:rFonts w:ascii="Verdana" w:hAnsi="Verdana"/>
                <w:noProof/>
                <w:sz w:val="20"/>
                <w:szCs w:val="20"/>
              </w:rPr>
              <w:t>Company-Downstream user</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noProof/>
                <w:sz w:val="20"/>
                <w:szCs w:val="20"/>
              </w:rPr>
            </w:pPr>
            <w:r w:rsidRPr="00AF6E2D">
              <w:rPr>
                <w:rFonts w:ascii="Verdana" w:hAnsi="Verdana"/>
                <w:b/>
                <w:sz w:val="20"/>
                <w:szCs w:val="20"/>
              </w:rPr>
              <w:t xml:space="preserve">Country: </w:t>
            </w:r>
            <w:r w:rsidRPr="00AF6E2D">
              <w:rPr>
                <w:rFonts w:ascii="Verdana" w:hAnsi="Verdana"/>
                <w:noProof/>
                <w:sz w:val="20"/>
                <w:szCs w:val="20"/>
              </w:rPr>
              <w:t>Germany</w:t>
            </w:r>
          </w:p>
          <w:p w:rsidR="00AF6E2D" w:rsidRPr="00AF6E2D" w:rsidRDefault="00AF6E2D" w:rsidP="001F4FCE">
            <w:pPr>
              <w:rPr>
                <w:rFonts w:ascii="Verdana" w:hAnsi="Verdana"/>
                <w:noProof/>
                <w:sz w:val="20"/>
                <w:szCs w:val="20"/>
              </w:rPr>
            </w:pPr>
          </w:p>
          <w:p w:rsidR="00AF6E2D" w:rsidRPr="00AF6E2D" w:rsidRDefault="00AF6E2D" w:rsidP="001F4FCE">
            <w:pPr>
              <w:rPr>
                <w:rFonts w:ascii="Verdana" w:hAnsi="Verdana"/>
                <w:sz w:val="20"/>
                <w:szCs w:val="20"/>
              </w:rPr>
            </w:pPr>
            <w:r w:rsidRPr="00AF6E2D">
              <w:rPr>
                <w:rFonts w:ascii="Verdana" w:hAnsi="Verdana"/>
                <w:b/>
                <w:noProof/>
                <w:sz w:val="20"/>
                <w:szCs w:val="20"/>
              </w:rPr>
              <w:t xml:space="preserve">Name confidential: </w:t>
            </w:r>
            <w:r w:rsidRPr="00AF6E2D">
              <w:rPr>
                <w:rFonts w:ascii="Verdana" w:hAnsi="Verdana"/>
                <w:noProof/>
                <w:color w:val="FF0000"/>
                <w:sz w:val="20"/>
                <w:szCs w:val="20"/>
              </w:rPr>
              <w:t>True</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p>
        </w:tc>
        <w:tc>
          <w:tcPr>
            <w:tcW w:w="10632" w:type="dxa"/>
            <w:gridSpan w:val="2"/>
          </w:tcPr>
          <w:p w:rsidR="00AF6E2D" w:rsidRPr="00AF6E2D" w:rsidRDefault="00AF6E2D" w:rsidP="001F4FCE">
            <w:pPr>
              <w:rPr>
                <w:rFonts w:ascii="Verdana" w:hAnsi="Verdana"/>
                <w:b/>
                <w:sz w:val="20"/>
                <w:szCs w:val="20"/>
              </w:rPr>
            </w:pPr>
            <w:r w:rsidRPr="00AF6E2D">
              <w:rPr>
                <w:rFonts w:ascii="Verdana" w:hAnsi="Verdana"/>
                <w:b/>
                <w:sz w:val="20"/>
                <w:szCs w:val="20"/>
              </w:rPr>
              <w:t>Comment:</w:t>
            </w:r>
          </w:p>
          <w:p w:rsidR="00AF6E2D" w:rsidRPr="00AF6E2D" w:rsidRDefault="00AF6E2D" w:rsidP="001F4FCE">
            <w:pPr>
              <w:rPr>
                <w:rFonts w:ascii="Verdana" w:hAnsi="Verdana"/>
                <w:noProof/>
                <w:sz w:val="20"/>
                <w:szCs w:val="20"/>
              </w:rPr>
            </w:pPr>
            <w:r w:rsidRPr="00AF6E2D">
              <w:rPr>
                <w:rFonts w:ascii="Verdana" w:hAnsi="Verdana"/>
                <w:noProof/>
                <w:sz w:val="20"/>
                <w:szCs w:val="20"/>
              </w:rPr>
              <w:t>Comments on the restriction proposal for 1-methyl-2-pyrrolidone (NMP) were already submitted by our company on November 27, 2013 (communication 02568d32-afdb-4d54-8cdb-f7b6d1bd73ca) and on March 18, 2014 (communication 22b0bd05-4fa5-4c8b-ba80-a80b444cd5cc).</w:t>
            </w:r>
          </w:p>
          <w:p w:rsidR="00AF6E2D" w:rsidRPr="00AF6E2D" w:rsidRDefault="00AF6E2D" w:rsidP="001F4FCE">
            <w:pPr>
              <w:rPr>
                <w:rFonts w:ascii="Verdana" w:hAnsi="Verdana"/>
                <w:noProof/>
                <w:sz w:val="20"/>
                <w:szCs w:val="20"/>
              </w:rPr>
            </w:pPr>
            <w:r w:rsidRPr="00AF6E2D">
              <w:rPr>
                <w:rFonts w:ascii="Verdana" w:hAnsi="Verdana"/>
                <w:noProof/>
                <w:sz w:val="20"/>
                <w:szCs w:val="20"/>
              </w:rPr>
              <w:t>SEAC considers the restriction proposal for NMP as modified by RAC as most appropriate EU wide measure. In general we would like to point out that we support the idea of using substance restriction instead of authorisation to address the identified risks for the industrial use of NMP.</w:t>
            </w:r>
          </w:p>
          <w:p w:rsidR="00AF6E2D" w:rsidRPr="00AF6E2D" w:rsidRDefault="00AF6E2D" w:rsidP="001F4FCE">
            <w:pPr>
              <w:rPr>
                <w:rFonts w:ascii="Verdana" w:hAnsi="Verdana"/>
                <w:noProof/>
                <w:sz w:val="20"/>
                <w:szCs w:val="20"/>
              </w:rPr>
            </w:pPr>
            <w:r w:rsidRPr="00AF6E2D">
              <w:rPr>
                <w:rFonts w:ascii="Verdana" w:hAnsi="Verdana"/>
                <w:noProof/>
                <w:sz w:val="20"/>
                <w:szCs w:val="20"/>
              </w:rPr>
              <w:t>The lead time needed for the implementation of the Derived No Effect Level (DNEL) value for workers inhalation of 10 mg/m³ for our use of NMP in the manufacturing process of electrodes for lithium ion batteries is estimated as approx. five years. This time frame is needed for a tiered approach in the adjustment of the technological process in order to find the best practicable and efficient solution for the reduction of the work place concentrations in the vicinity of the foil coating head. It is inevitable to assure that these changes will not negatively affect the drying of the dispersion on the foil. In particular the homogeneity of the electrode surface as well as the complex air management system play a decisive role in the battery production process. Therefore any change in this part of the production process needs to be carefully planned and implemented in order to avoid negative impact on the product quality of these state-of-the art electrodes for lithium ion batteries.</w:t>
            </w:r>
          </w:p>
          <w:p w:rsidR="00AF6E2D" w:rsidRPr="00AF6E2D" w:rsidRDefault="00AF6E2D" w:rsidP="001F4FCE">
            <w:pPr>
              <w:rPr>
                <w:rFonts w:ascii="Verdana" w:hAnsi="Verdana"/>
                <w:noProof/>
                <w:sz w:val="20"/>
                <w:szCs w:val="20"/>
              </w:rPr>
            </w:pPr>
            <w:r w:rsidRPr="00AF6E2D">
              <w:rPr>
                <w:rFonts w:ascii="Verdana" w:hAnsi="Verdana"/>
                <w:noProof/>
                <w:sz w:val="20"/>
                <w:szCs w:val="20"/>
              </w:rPr>
              <w:t>The costs for the required changes in this production process are estimated in the range of 2 – 5 Million €. We believe that an investment into the enduring reduction of the workplace concentration has a higher socio-economic benefit compared to an authorisation approach for limiting the identified risks for the industrial use of NMP. It also gives us a higher investment security in the high-tech production environment compared to the time limited authorisation approach.</w:t>
            </w:r>
          </w:p>
          <w:p w:rsidR="00AF6E2D" w:rsidRDefault="00AF6E2D" w:rsidP="001F4FCE">
            <w:pPr>
              <w:rPr>
                <w:rFonts w:ascii="Verdana" w:hAnsi="Verdana"/>
                <w:noProof/>
                <w:sz w:val="20"/>
                <w:szCs w:val="20"/>
              </w:rPr>
            </w:pPr>
            <w:r w:rsidRPr="00AF6E2D">
              <w:rPr>
                <w:rFonts w:ascii="Verdana" w:hAnsi="Verdana"/>
                <w:noProof/>
                <w:sz w:val="20"/>
                <w:szCs w:val="20"/>
              </w:rPr>
              <w:t xml:space="preserve">Nevertheless we would like to point out that we would have preferred a higher DNEL value for the </w:t>
            </w:r>
            <w:r w:rsidRPr="00AF6E2D">
              <w:rPr>
                <w:rFonts w:ascii="Verdana" w:hAnsi="Verdana"/>
                <w:noProof/>
                <w:sz w:val="20"/>
                <w:szCs w:val="20"/>
              </w:rPr>
              <w:lastRenderedPageBreak/>
              <w:t>workers inhalation based on the highest DNEL that still excludes any health risk to the worker. The possibility of an organisational solution was not taken into account by the current. In our settings only male workers are allowed to work at the most exposure critical workplace which is the foil coating head, as described above. Therefore higher work place concentrations could be accepted without causing additional risks.</w:t>
            </w:r>
          </w:p>
          <w:p w:rsidR="00AF6E2D" w:rsidRPr="00AF6E2D" w:rsidRDefault="00AF6E2D" w:rsidP="001F4FCE">
            <w:pPr>
              <w:rPr>
                <w:rFonts w:ascii="Verdana" w:hAnsi="Verdana"/>
                <w:sz w:val="20"/>
                <w:szCs w:val="20"/>
              </w:rPr>
            </w:pPr>
          </w:p>
        </w:tc>
      </w:tr>
      <w:tr w:rsidR="00AF6E2D" w:rsidRPr="00AF6E2D" w:rsidTr="00452DEB">
        <w:tc>
          <w:tcPr>
            <w:tcW w:w="817" w:type="dxa"/>
            <w:vMerge/>
          </w:tcPr>
          <w:p w:rsidR="00AF6E2D" w:rsidRPr="00AF6E2D" w:rsidRDefault="00AF6E2D" w:rsidP="001F4FCE">
            <w:pPr>
              <w:rPr>
                <w:rFonts w:ascii="Verdana" w:hAnsi="Verdana"/>
                <w:sz w:val="20"/>
                <w:szCs w:val="20"/>
              </w:rPr>
            </w:pPr>
          </w:p>
        </w:tc>
        <w:tc>
          <w:tcPr>
            <w:tcW w:w="2693" w:type="dxa"/>
            <w:vMerge/>
          </w:tcPr>
          <w:p w:rsidR="00AF6E2D" w:rsidRPr="00AF6E2D" w:rsidRDefault="00AF6E2D" w:rsidP="001F4FCE">
            <w:pPr>
              <w:rPr>
                <w:rFonts w:ascii="Verdana" w:hAnsi="Verdana"/>
                <w:b/>
                <w:sz w:val="20"/>
                <w:szCs w:val="20"/>
              </w:rPr>
            </w:pPr>
          </w:p>
        </w:tc>
        <w:tc>
          <w:tcPr>
            <w:tcW w:w="10632" w:type="dxa"/>
            <w:gridSpan w:val="2"/>
          </w:tcPr>
          <w:p w:rsidR="00AF6E2D" w:rsidRDefault="00AF6E2D" w:rsidP="001F4FCE">
            <w:pPr>
              <w:rPr>
                <w:rFonts w:ascii="Verdana" w:hAnsi="Verdana"/>
                <w:b/>
                <w:sz w:val="20"/>
                <w:szCs w:val="20"/>
              </w:rPr>
            </w:pPr>
            <w:r w:rsidRPr="00AF6E2D">
              <w:rPr>
                <w:rFonts w:ascii="Verdana" w:hAnsi="Verdana"/>
                <w:b/>
                <w:sz w:val="20"/>
                <w:szCs w:val="20"/>
              </w:rPr>
              <w:t>SEAC Rapporteurs response</w:t>
            </w:r>
          </w:p>
          <w:p w:rsidR="003A797F" w:rsidRPr="003A797F" w:rsidRDefault="003A797F" w:rsidP="001F4FCE">
            <w:pPr>
              <w:rPr>
                <w:rFonts w:ascii="Verdana" w:hAnsi="Verdana"/>
                <w:sz w:val="20"/>
                <w:szCs w:val="20"/>
              </w:rPr>
            </w:pPr>
            <w:r>
              <w:rPr>
                <w:rFonts w:ascii="Verdana" w:hAnsi="Verdana"/>
                <w:sz w:val="20"/>
                <w:szCs w:val="20"/>
              </w:rPr>
              <w:t xml:space="preserve">Thank you for the comment. SEAC </w:t>
            </w:r>
            <w:r w:rsidR="00F02B4D">
              <w:rPr>
                <w:rFonts w:ascii="Verdana" w:hAnsi="Verdana"/>
                <w:sz w:val="20"/>
                <w:szCs w:val="20"/>
              </w:rPr>
              <w:t>is</w:t>
            </w:r>
            <w:r>
              <w:rPr>
                <w:rFonts w:ascii="Verdana" w:hAnsi="Verdana"/>
                <w:sz w:val="20"/>
                <w:szCs w:val="20"/>
              </w:rPr>
              <w:t xml:space="preserve"> basing its consideration of what is considered to be as safe level (DNEL) on RAC</w:t>
            </w:r>
            <w:r w:rsidR="00F02B4D">
              <w:rPr>
                <w:rFonts w:ascii="Verdana" w:hAnsi="Verdana"/>
                <w:sz w:val="20"/>
                <w:szCs w:val="20"/>
              </w:rPr>
              <w:t>'</w:t>
            </w:r>
            <w:r>
              <w:rPr>
                <w:rFonts w:ascii="Verdana" w:hAnsi="Verdana"/>
                <w:sz w:val="20"/>
                <w:szCs w:val="20"/>
              </w:rPr>
              <w:t>s conclusion, and note</w:t>
            </w:r>
            <w:r w:rsidR="00F02B4D">
              <w:rPr>
                <w:rFonts w:ascii="Verdana" w:hAnsi="Verdana"/>
                <w:sz w:val="20"/>
                <w:szCs w:val="20"/>
              </w:rPr>
              <w:t>s</w:t>
            </w:r>
            <w:r>
              <w:rPr>
                <w:rFonts w:ascii="Verdana" w:hAnsi="Verdana"/>
                <w:sz w:val="20"/>
                <w:szCs w:val="20"/>
              </w:rPr>
              <w:t xml:space="preserve"> that according to </w:t>
            </w:r>
            <w:r w:rsidRPr="00382C56">
              <w:rPr>
                <w:rFonts w:ascii="Verdana" w:hAnsi="Verdana"/>
                <w:sz w:val="20"/>
                <w:szCs w:val="20"/>
              </w:rPr>
              <w:t>REACH guidance</w:t>
            </w:r>
            <w:r>
              <w:rPr>
                <w:rFonts w:ascii="Verdana" w:hAnsi="Verdana"/>
                <w:sz w:val="20"/>
                <w:szCs w:val="20"/>
              </w:rPr>
              <w:t xml:space="preserve"> </w:t>
            </w:r>
            <w:r w:rsidR="00CB6D06">
              <w:rPr>
                <w:rFonts w:ascii="Verdana" w:hAnsi="Verdana"/>
                <w:sz w:val="20"/>
                <w:szCs w:val="20"/>
              </w:rPr>
              <w:t xml:space="preserve">and in line with </w:t>
            </w:r>
            <w:r w:rsidR="00CB6D06" w:rsidRPr="00CB6D06">
              <w:rPr>
                <w:rFonts w:ascii="Verdana" w:hAnsi="Verdana"/>
                <w:sz w:val="20"/>
                <w:szCs w:val="20"/>
              </w:rPr>
              <w:t>CHARTER OF FUNDAMENTAL RIGHTS OF THE EUROPEAN UNION</w:t>
            </w:r>
            <w:r w:rsidR="00CB6D06">
              <w:rPr>
                <w:rFonts w:ascii="Verdana" w:hAnsi="Verdana"/>
                <w:sz w:val="20"/>
                <w:szCs w:val="20"/>
              </w:rPr>
              <w:t xml:space="preserve">, art. 21, </w:t>
            </w:r>
            <w:r>
              <w:rPr>
                <w:rFonts w:ascii="Verdana" w:hAnsi="Verdana"/>
                <w:sz w:val="20"/>
                <w:szCs w:val="20"/>
              </w:rPr>
              <w:t>gender specific DNELs are not possible.</w:t>
            </w:r>
            <w:r w:rsidR="009D1E10">
              <w:rPr>
                <w:rFonts w:ascii="Verdana" w:hAnsi="Verdana"/>
                <w:sz w:val="20"/>
                <w:szCs w:val="20"/>
              </w:rPr>
              <w:t xml:space="preserve"> </w:t>
            </w:r>
          </w:p>
          <w:p w:rsidR="00AF6E2D" w:rsidRPr="00AF6E2D" w:rsidRDefault="00AF6E2D" w:rsidP="001F4FCE">
            <w:pPr>
              <w:rPr>
                <w:rFonts w:ascii="Verdana" w:hAnsi="Verdana"/>
                <w:sz w:val="20"/>
                <w:szCs w:val="20"/>
              </w:rPr>
            </w:pPr>
          </w:p>
        </w:tc>
      </w:tr>
      <w:tr w:rsidR="00AF6E2D" w:rsidRPr="00AF6E2D" w:rsidTr="00452DEB">
        <w:tc>
          <w:tcPr>
            <w:tcW w:w="817" w:type="dxa"/>
            <w:vMerge w:val="restart"/>
          </w:tcPr>
          <w:p w:rsidR="00AF6E2D" w:rsidRPr="00AF6E2D" w:rsidRDefault="00AF6E2D" w:rsidP="001F4FCE">
            <w:pPr>
              <w:rPr>
                <w:rFonts w:ascii="Verdana" w:hAnsi="Verdana"/>
                <w:sz w:val="20"/>
                <w:szCs w:val="20"/>
              </w:rPr>
            </w:pPr>
            <w:r w:rsidRPr="00AF6E2D">
              <w:rPr>
                <w:rFonts w:ascii="Verdana" w:hAnsi="Verdana"/>
                <w:noProof/>
                <w:sz w:val="20"/>
                <w:szCs w:val="20"/>
              </w:rPr>
              <w:t>128</w:t>
            </w:r>
          </w:p>
        </w:tc>
        <w:tc>
          <w:tcPr>
            <w:tcW w:w="2693" w:type="dxa"/>
            <w:vMerge w:val="restart"/>
          </w:tcPr>
          <w:p w:rsidR="00AF6E2D" w:rsidRPr="00AF6E2D" w:rsidRDefault="00AF6E2D" w:rsidP="001F4FCE">
            <w:pPr>
              <w:rPr>
                <w:rFonts w:ascii="Verdana" w:hAnsi="Verdana"/>
                <w:sz w:val="20"/>
                <w:szCs w:val="20"/>
              </w:rPr>
            </w:pPr>
            <w:r w:rsidRPr="00AF6E2D">
              <w:rPr>
                <w:rFonts w:ascii="Verdana" w:hAnsi="Verdana"/>
                <w:b/>
                <w:sz w:val="20"/>
                <w:szCs w:val="20"/>
              </w:rPr>
              <w:t>Date/Time:</w:t>
            </w:r>
            <w:r w:rsidRPr="00AF6E2D">
              <w:rPr>
                <w:rFonts w:ascii="Verdana" w:hAnsi="Verdana"/>
                <w:sz w:val="20"/>
                <w:szCs w:val="20"/>
              </w:rPr>
              <w:t xml:space="preserve"> </w:t>
            </w:r>
            <w:r w:rsidRPr="00AF6E2D">
              <w:rPr>
                <w:rFonts w:ascii="Verdana" w:hAnsi="Verdana"/>
                <w:noProof/>
                <w:sz w:val="20"/>
                <w:szCs w:val="20"/>
              </w:rPr>
              <w:t>2014/11/13 15:03</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r w:rsidRPr="00AF6E2D">
              <w:rPr>
                <w:rFonts w:ascii="Verdana" w:hAnsi="Verdana"/>
                <w:b/>
                <w:sz w:val="20"/>
                <w:szCs w:val="20"/>
              </w:rPr>
              <w:t>Type:</w:t>
            </w:r>
            <w:r w:rsidRPr="00AF6E2D">
              <w:rPr>
                <w:rFonts w:ascii="Verdana" w:hAnsi="Verdana"/>
                <w:sz w:val="20"/>
                <w:szCs w:val="20"/>
              </w:rPr>
              <w:t xml:space="preserve"> </w:t>
            </w:r>
            <w:r w:rsidRPr="00AF6E2D">
              <w:rPr>
                <w:rFonts w:ascii="Verdana" w:hAnsi="Verdana"/>
                <w:noProof/>
                <w:sz w:val="20"/>
                <w:szCs w:val="20"/>
              </w:rPr>
              <w:t>Industry or trade association</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noProof/>
                <w:sz w:val="20"/>
                <w:szCs w:val="20"/>
              </w:rPr>
            </w:pPr>
            <w:r w:rsidRPr="00AF6E2D">
              <w:rPr>
                <w:rFonts w:ascii="Verdana" w:hAnsi="Verdana"/>
                <w:b/>
                <w:sz w:val="20"/>
                <w:szCs w:val="20"/>
              </w:rPr>
              <w:t xml:space="preserve">Country: </w:t>
            </w:r>
            <w:r w:rsidRPr="00AF6E2D">
              <w:rPr>
                <w:rFonts w:ascii="Verdana" w:hAnsi="Verdana"/>
                <w:noProof/>
                <w:sz w:val="20"/>
                <w:szCs w:val="20"/>
              </w:rPr>
              <w:t>Germany</w:t>
            </w:r>
          </w:p>
          <w:p w:rsidR="00AF6E2D" w:rsidRPr="00AF6E2D" w:rsidRDefault="00AF6E2D" w:rsidP="001F4FCE">
            <w:pPr>
              <w:rPr>
                <w:rFonts w:ascii="Verdana" w:hAnsi="Verdana"/>
                <w:noProof/>
                <w:sz w:val="20"/>
                <w:szCs w:val="20"/>
              </w:rPr>
            </w:pPr>
          </w:p>
          <w:p w:rsidR="00AF6E2D" w:rsidRDefault="00AF6E2D" w:rsidP="001F4FCE">
            <w:pPr>
              <w:rPr>
                <w:rFonts w:ascii="Verdana" w:hAnsi="Verdana"/>
                <w:noProof/>
                <w:color w:val="FF0000"/>
                <w:sz w:val="20"/>
                <w:szCs w:val="20"/>
              </w:rPr>
            </w:pPr>
            <w:r w:rsidRPr="00AF6E2D">
              <w:rPr>
                <w:rFonts w:ascii="Verdana" w:hAnsi="Verdana"/>
                <w:b/>
                <w:noProof/>
                <w:sz w:val="20"/>
                <w:szCs w:val="20"/>
              </w:rPr>
              <w:t xml:space="preserve">Name confidential: </w:t>
            </w:r>
            <w:r w:rsidRPr="00AF6E2D">
              <w:rPr>
                <w:rFonts w:ascii="Verdana" w:hAnsi="Verdana"/>
                <w:noProof/>
                <w:color w:val="FF0000"/>
                <w:sz w:val="20"/>
                <w:szCs w:val="20"/>
              </w:rPr>
              <w:t>True</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p>
        </w:tc>
        <w:tc>
          <w:tcPr>
            <w:tcW w:w="10632" w:type="dxa"/>
            <w:gridSpan w:val="2"/>
          </w:tcPr>
          <w:p w:rsidR="00AF6E2D" w:rsidRPr="00AF6E2D" w:rsidRDefault="00AF6E2D" w:rsidP="001F4FCE">
            <w:pPr>
              <w:rPr>
                <w:rFonts w:ascii="Verdana" w:hAnsi="Verdana"/>
                <w:b/>
                <w:sz w:val="20"/>
                <w:szCs w:val="20"/>
              </w:rPr>
            </w:pPr>
            <w:r w:rsidRPr="00AF6E2D">
              <w:rPr>
                <w:rFonts w:ascii="Verdana" w:hAnsi="Verdana"/>
                <w:b/>
                <w:sz w:val="20"/>
                <w:szCs w:val="20"/>
              </w:rPr>
              <w:t>Comment:</w:t>
            </w:r>
          </w:p>
          <w:p w:rsidR="00AF6E2D" w:rsidRPr="00AF6E2D" w:rsidRDefault="00AF6E2D" w:rsidP="001F4FCE">
            <w:pPr>
              <w:rPr>
                <w:rFonts w:ascii="Verdana" w:hAnsi="Verdana"/>
                <w:noProof/>
                <w:sz w:val="20"/>
                <w:szCs w:val="20"/>
              </w:rPr>
            </w:pPr>
            <w:r w:rsidRPr="00AF6E2D">
              <w:rPr>
                <w:rFonts w:ascii="Verdana" w:hAnsi="Verdana"/>
                <w:noProof/>
                <w:sz w:val="20"/>
                <w:szCs w:val="20"/>
              </w:rPr>
              <w:t>Page 7 of the draft SEAC opinion document (RMO Analysis, RMO4) contains the following section:</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 "In conclusion, SEAC considers that the authorisation route (RMO4) might be effective and practical for some sectors and giving a constant incentive to phase out the use of a CMR substance like NMP. This could especially apply for uses where the impacts of a general restriction on the most affected companies are considered not to be proportional. An option for risk management incentives could therefore be to combine a restriction with an authorisation approach for such uses."</w:t>
            </w:r>
          </w:p>
          <w:p w:rsidR="00AF6E2D" w:rsidRPr="00AF6E2D" w:rsidRDefault="00AF6E2D" w:rsidP="001F4FCE">
            <w:pPr>
              <w:rPr>
                <w:rFonts w:ascii="Verdana" w:hAnsi="Verdana"/>
                <w:noProof/>
                <w:sz w:val="20"/>
                <w:szCs w:val="20"/>
              </w:rPr>
            </w:pPr>
            <w:r w:rsidRPr="00AF6E2D">
              <w:rPr>
                <w:rFonts w:ascii="Verdana" w:hAnsi="Verdana"/>
                <w:noProof/>
                <w:sz w:val="20"/>
                <w:szCs w:val="20"/>
              </w:rPr>
              <w:t>We have the following comments:</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This section on page 7 is generally in contradiction with the positive opinion on Restriction as the optimal RMO for NMP. In addition, the text is confusing, and it is not clear what is meant with “the most affected companies”, and how, why and/or in which cases Restriction would “not be proportional”.  </w:t>
            </w:r>
          </w:p>
          <w:p w:rsidR="00AF6E2D" w:rsidRPr="00AF6E2D" w:rsidRDefault="00AF6E2D" w:rsidP="001F4FCE">
            <w:pPr>
              <w:rPr>
                <w:rFonts w:ascii="Verdana" w:hAnsi="Verdana"/>
                <w:noProof/>
                <w:sz w:val="20"/>
                <w:szCs w:val="20"/>
              </w:rPr>
            </w:pPr>
            <w:r w:rsidRPr="00AF6E2D">
              <w:rPr>
                <w:rFonts w:ascii="Verdana" w:hAnsi="Verdana"/>
                <w:noProof/>
                <w:sz w:val="20"/>
                <w:szCs w:val="20"/>
              </w:rPr>
              <w:t>This statement may very well create considerable confusion and debate with both users and (national) authorities, and it undermines the positive view of the SEAC for Restriction of NMP. Also, it may convey uncertainty among  users about the future risk management strategies to be complied with.</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We strongly suggest that this section will not be included in the final SEAC opinion. </w:t>
            </w:r>
          </w:p>
          <w:p w:rsidR="00AF6E2D" w:rsidRPr="00AF6E2D" w:rsidRDefault="00AF6E2D" w:rsidP="001F4FCE">
            <w:pPr>
              <w:rPr>
                <w:rFonts w:ascii="Verdana" w:hAnsi="Verdana"/>
                <w:sz w:val="20"/>
                <w:szCs w:val="20"/>
              </w:rPr>
            </w:pPr>
          </w:p>
        </w:tc>
      </w:tr>
      <w:tr w:rsidR="00AF6E2D" w:rsidRPr="00AF6E2D" w:rsidTr="00452DEB">
        <w:tc>
          <w:tcPr>
            <w:tcW w:w="817" w:type="dxa"/>
            <w:vMerge/>
          </w:tcPr>
          <w:p w:rsidR="00AF6E2D" w:rsidRPr="00AF6E2D" w:rsidRDefault="00AF6E2D" w:rsidP="001F4FCE">
            <w:pPr>
              <w:rPr>
                <w:rFonts w:ascii="Verdana" w:hAnsi="Verdana"/>
                <w:sz w:val="20"/>
                <w:szCs w:val="20"/>
              </w:rPr>
            </w:pPr>
          </w:p>
        </w:tc>
        <w:tc>
          <w:tcPr>
            <w:tcW w:w="2693" w:type="dxa"/>
            <w:vMerge/>
          </w:tcPr>
          <w:p w:rsidR="00AF6E2D" w:rsidRPr="00AF6E2D" w:rsidRDefault="00AF6E2D" w:rsidP="001F4FCE">
            <w:pPr>
              <w:rPr>
                <w:rFonts w:ascii="Verdana" w:hAnsi="Verdana"/>
                <w:b/>
                <w:sz w:val="20"/>
                <w:szCs w:val="20"/>
              </w:rPr>
            </w:pPr>
          </w:p>
        </w:tc>
        <w:tc>
          <w:tcPr>
            <w:tcW w:w="10632" w:type="dxa"/>
            <w:gridSpan w:val="2"/>
          </w:tcPr>
          <w:p w:rsidR="00AF6E2D" w:rsidRPr="00AF6E2D" w:rsidRDefault="00AF6E2D" w:rsidP="001F4FCE">
            <w:pPr>
              <w:rPr>
                <w:rFonts w:ascii="Verdana" w:hAnsi="Verdana"/>
                <w:b/>
                <w:sz w:val="20"/>
                <w:szCs w:val="20"/>
              </w:rPr>
            </w:pPr>
            <w:r w:rsidRPr="00AF6E2D">
              <w:rPr>
                <w:rFonts w:ascii="Verdana" w:hAnsi="Verdana"/>
                <w:b/>
                <w:sz w:val="20"/>
                <w:szCs w:val="20"/>
              </w:rPr>
              <w:t>SEAC Rapporteurs response</w:t>
            </w:r>
          </w:p>
          <w:p w:rsidR="00AF6E2D" w:rsidRDefault="009D1E10" w:rsidP="00BC44E9">
            <w:pPr>
              <w:rPr>
                <w:rFonts w:ascii="Verdana" w:hAnsi="Verdana"/>
                <w:sz w:val="20"/>
                <w:szCs w:val="20"/>
              </w:rPr>
            </w:pPr>
            <w:r>
              <w:rPr>
                <w:rFonts w:ascii="Verdana" w:hAnsi="Verdana"/>
                <w:sz w:val="20"/>
                <w:szCs w:val="20"/>
              </w:rPr>
              <w:t>SEAC do</w:t>
            </w:r>
            <w:r w:rsidR="00F02B4D">
              <w:rPr>
                <w:rFonts w:ascii="Verdana" w:hAnsi="Verdana"/>
                <w:sz w:val="20"/>
                <w:szCs w:val="20"/>
              </w:rPr>
              <w:t>es</w:t>
            </w:r>
            <w:r>
              <w:rPr>
                <w:rFonts w:ascii="Verdana" w:hAnsi="Verdana"/>
                <w:sz w:val="20"/>
                <w:szCs w:val="20"/>
              </w:rPr>
              <w:t xml:space="preserve"> not consider authorisation always to be very burdensome, especially when the expected exposure is below what is considered to be a safe level (adequate control). Applications can be submitted by manufacturers. In the case where adequate control is not met, authorisation can be granted if the benefits </w:t>
            </w:r>
            <w:r w:rsidR="00FF7D5F">
              <w:rPr>
                <w:rFonts w:ascii="Verdana" w:hAnsi="Verdana"/>
                <w:sz w:val="20"/>
                <w:szCs w:val="20"/>
              </w:rPr>
              <w:t>exceed the costs. While for non-</w:t>
            </w:r>
            <w:r>
              <w:rPr>
                <w:rFonts w:ascii="Verdana" w:hAnsi="Verdana"/>
                <w:sz w:val="20"/>
                <w:szCs w:val="20"/>
              </w:rPr>
              <w:t xml:space="preserve">controlled substances exposure has to be below </w:t>
            </w:r>
            <w:r w:rsidR="00FF7D5F">
              <w:rPr>
                <w:rFonts w:ascii="Verdana" w:hAnsi="Verdana"/>
                <w:sz w:val="20"/>
                <w:szCs w:val="20"/>
              </w:rPr>
              <w:t>the adequate control level.</w:t>
            </w:r>
            <w:r>
              <w:rPr>
                <w:rFonts w:ascii="Verdana" w:hAnsi="Verdana"/>
                <w:sz w:val="20"/>
                <w:szCs w:val="20"/>
              </w:rPr>
              <w:t xml:space="preserve">  </w:t>
            </w:r>
          </w:p>
          <w:p w:rsidR="00F02B4D" w:rsidRPr="00AF6E2D" w:rsidRDefault="00F02B4D" w:rsidP="00BC44E9">
            <w:pPr>
              <w:rPr>
                <w:rFonts w:ascii="Verdana" w:hAnsi="Verdana"/>
                <w:sz w:val="20"/>
                <w:szCs w:val="20"/>
              </w:rPr>
            </w:pPr>
          </w:p>
        </w:tc>
      </w:tr>
      <w:tr w:rsidR="00AF6E2D" w:rsidRPr="00AF6E2D" w:rsidTr="00452DEB">
        <w:tc>
          <w:tcPr>
            <w:tcW w:w="817" w:type="dxa"/>
            <w:vMerge w:val="restart"/>
          </w:tcPr>
          <w:p w:rsidR="00AF6E2D" w:rsidRPr="00AF6E2D" w:rsidRDefault="00AF6E2D" w:rsidP="001F4FCE">
            <w:pPr>
              <w:rPr>
                <w:rFonts w:ascii="Verdana" w:hAnsi="Verdana"/>
                <w:sz w:val="20"/>
                <w:szCs w:val="20"/>
              </w:rPr>
            </w:pPr>
            <w:r w:rsidRPr="00AF6E2D">
              <w:rPr>
                <w:rFonts w:ascii="Verdana" w:hAnsi="Verdana"/>
                <w:noProof/>
                <w:sz w:val="20"/>
                <w:szCs w:val="20"/>
              </w:rPr>
              <w:t>129</w:t>
            </w:r>
          </w:p>
        </w:tc>
        <w:tc>
          <w:tcPr>
            <w:tcW w:w="2693" w:type="dxa"/>
            <w:vMerge w:val="restart"/>
          </w:tcPr>
          <w:p w:rsidR="00AF6E2D" w:rsidRPr="00AF6E2D" w:rsidRDefault="00AF6E2D" w:rsidP="001F4FCE">
            <w:pPr>
              <w:rPr>
                <w:rFonts w:ascii="Verdana" w:hAnsi="Verdana"/>
                <w:sz w:val="20"/>
                <w:szCs w:val="20"/>
              </w:rPr>
            </w:pPr>
            <w:r w:rsidRPr="00AF6E2D">
              <w:rPr>
                <w:rFonts w:ascii="Verdana" w:hAnsi="Verdana"/>
                <w:b/>
                <w:sz w:val="20"/>
                <w:szCs w:val="20"/>
              </w:rPr>
              <w:t>Date/Time:</w:t>
            </w:r>
            <w:r w:rsidRPr="00AF6E2D">
              <w:rPr>
                <w:rFonts w:ascii="Verdana" w:hAnsi="Verdana"/>
                <w:sz w:val="20"/>
                <w:szCs w:val="20"/>
              </w:rPr>
              <w:t xml:space="preserve"> </w:t>
            </w:r>
            <w:r w:rsidRPr="00AF6E2D">
              <w:rPr>
                <w:rFonts w:ascii="Verdana" w:hAnsi="Verdana"/>
                <w:noProof/>
                <w:sz w:val="20"/>
                <w:szCs w:val="20"/>
              </w:rPr>
              <w:lastRenderedPageBreak/>
              <w:t>2014/11/13 16:27</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r w:rsidRPr="00AF6E2D">
              <w:rPr>
                <w:rFonts w:ascii="Verdana" w:hAnsi="Verdana"/>
                <w:b/>
                <w:sz w:val="20"/>
                <w:szCs w:val="20"/>
              </w:rPr>
              <w:t>Type:</w:t>
            </w:r>
            <w:r w:rsidRPr="00AF6E2D">
              <w:rPr>
                <w:rFonts w:ascii="Verdana" w:hAnsi="Verdana"/>
                <w:sz w:val="20"/>
                <w:szCs w:val="20"/>
              </w:rPr>
              <w:t xml:space="preserve"> </w:t>
            </w:r>
            <w:r w:rsidRPr="00AF6E2D">
              <w:rPr>
                <w:rFonts w:ascii="Verdana" w:hAnsi="Verdana"/>
                <w:noProof/>
                <w:sz w:val="20"/>
                <w:szCs w:val="20"/>
              </w:rPr>
              <w:t>Industry or trade association</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noProof/>
                <w:sz w:val="20"/>
                <w:szCs w:val="20"/>
              </w:rPr>
            </w:pPr>
            <w:r w:rsidRPr="00AF6E2D">
              <w:rPr>
                <w:rFonts w:ascii="Verdana" w:hAnsi="Verdana"/>
                <w:b/>
                <w:sz w:val="20"/>
                <w:szCs w:val="20"/>
              </w:rPr>
              <w:t xml:space="preserve">Country: </w:t>
            </w:r>
            <w:r w:rsidRPr="00AF6E2D">
              <w:rPr>
                <w:rFonts w:ascii="Verdana" w:hAnsi="Verdana"/>
                <w:noProof/>
                <w:sz w:val="20"/>
                <w:szCs w:val="20"/>
              </w:rPr>
              <w:t>Belgium</w:t>
            </w:r>
          </w:p>
          <w:p w:rsidR="00AF6E2D" w:rsidRPr="00AF6E2D" w:rsidRDefault="00AF6E2D" w:rsidP="001F4FCE">
            <w:pPr>
              <w:rPr>
                <w:rFonts w:ascii="Verdana" w:hAnsi="Verdana"/>
                <w:noProof/>
                <w:sz w:val="20"/>
                <w:szCs w:val="20"/>
              </w:rPr>
            </w:pPr>
          </w:p>
          <w:p w:rsidR="00AF6E2D" w:rsidRPr="00AF6E2D" w:rsidRDefault="00AF6E2D" w:rsidP="001F4FCE">
            <w:pPr>
              <w:rPr>
                <w:rFonts w:ascii="Verdana" w:hAnsi="Verdana"/>
                <w:sz w:val="20"/>
                <w:szCs w:val="20"/>
              </w:rPr>
            </w:pPr>
            <w:r w:rsidRPr="00AF6E2D">
              <w:rPr>
                <w:rFonts w:ascii="Verdana" w:hAnsi="Verdana"/>
                <w:b/>
                <w:noProof/>
                <w:sz w:val="20"/>
                <w:szCs w:val="20"/>
              </w:rPr>
              <w:t xml:space="preserve">Name confidential: </w:t>
            </w:r>
            <w:r w:rsidRPr="00AF6E2D">
              <w:rPr>
                <w:rFonts w:ascii="Verdana" w:hAnsi="Verdana"/>
                <w:noProof/>
                <w:sz w:val="20"/>
                <w:szCs w:val="20"/>
              </w:rPr>
              <w:t>False</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p>
        </w:tc>
        <w:tc>
          <w:tcPr>
            <w:tcW w:w="10632" w:type="dxa"/>
            <w:gridSpan w:val="2"/>
          </w:tcPr>
          <w:p w:rsidR="00AF6E2D" w:rsidRPr="00E34CA2" w:rsidRDefault="00AF6E2D" w:rsidP="001F4FCE">
            <w:pPr>
              <w:rPr>
                <w:rFonts w:ascii="Verdana" w:hAnsi="Verdana"/>
                <w:b/>
                <w:sz w:val="20"/>
                <w:szCs w:val="20"/>
                <w:lang w:val="fr-FR"/>
              </w:rPr>
            </w:pPr>
            <w:r w:rsidRPr="00E34CA2">
              <w:rPr>
                <w:rFonts w:ascii="Verdana" w:hAnsi="Verdana"/>
                <w:b/>
                <w:sz w:val="20"/>
                <w:szCs w:val="20"/>
                <w:lang w:val="fr-FR"/>
              </w:rPr>
              <w:lastRenderedPageBreak/>
              <w:t>Comment:</w:t>
            </w:r>
          </w:p>
          <w:p w:rsidR="00AF6E2D" w:rsidRPr="00E34CA2" w:rsidRDefault="00AF6E2D" w:rsidP="001F4FCE">
            <w:pPr>
              <w:rPr>
                <w:rFonts w:ascii="Verdana" w:hAnsi="Verdana"/>
                <w:noProof/>
                <w:sz w:val="20"/>
                <w:szCs w:val="20"/>
                <w:lang w:val="fr-FR"/>
              </w:rPr>
            </w:pPr>
            <w:r w:rsidRPr="00E34CA2">
              <w:rPr>
                <w:rFonts w:ascii="Verdana" w:hAnsi="Verdana"/>
                <w:noProof/>
                <w:sz w:val="20"/>
                <w:szCs w:val="20"/>
                <w:lang w:val="fr-FR"/>
              </w:rPr>
              <w:lastRenderedPageBreak/>
              <w:t>13.11.2014</w:t>
            </w:r>
          </w:p>
          <w:p w:rsidR="00AF6E2D" w:rsidRPr="00E34CA2" w:rsidRDefault="00AF6E2D" w:rsidP="001F4FCE">
            <w:pPr>
              <w:rPr>
                <w:rFonts w:ascii="Verdana" w:hAnsi="Verdana"/>
                <w:noProof/>
                <w:sz w:val="20"/>
                <w:szCs w:val="20"/>
                <w:lang w:val="fr-FR"/>
              </w:rPr>
            </w:pPr>
            <w:r w:rsidRPr="00E34CA2">
              <w:rPr>
                <w:rFonts w:ascii="Verdana" w:hAnsi="Verdana"/>
                <w:noProof/>
                <w:sz w:val="20"/>
                <w:szCs w:val="20"/>
                <w:lang w:val="fr-FR"/>
              </w:rPr>
              <w:t xml:space="preserve">1-methyl-2-pyrrolidone (NMP) </w:t>
            </w:r>
            <w:r w:rsidRPr="00E34CA2">
              <w:rPr>
                <w:rFonts w:ascii="Verdana" w:hAnsi="Verdana"/>
                <w:noProof/>
                <w:sz w:val="20"/>
                <w:szCs w:val="20"/>
                <w:lang w:val="fr-FR"/>
              </w:rPr>
              <w:tab/>
            </w:r>
            <w:r w:rsidRPr="00E34CA2">
              <w:rPr>
                <w:rFonts w:ascii="Verdana" w:hAnsi="Verdana"/>
                <w:noProof/>
                <w:sz w:val="20"/>
                <w:szCs w:val="20"/>
                <w:lang w:val="fr-FR"/>
              </w:rPr>
              <w:tab/>
              <w:t>EC 212-828-1</w:t>
            </w:r>
            <w:r w:rsidRPr="00E34CA2">
              <w:rPr>
                <w:rFonts w:ascii="Verdana" w:hAnsi="Verdana"/>
                <w:noProof/>
                <w:sz w:val="20"/>
                <w:szCs w:val="20"/>
                <w:lang w:val="fr-FR"/>
              </w:rPr>
              <w:tab/>
              <w:t>CAS 872-50-4</w:t>
            </w:r>
          </w:p>
          <w:p w:rsidR="00AF6E2D" w:rsidRPr="00AF6E2D" w:rsidRDefault="00AF6E2D" w:rsidP="001F4FCE">
            <w:pPr>
              <w:rPr>
                <w:rFonts w:ascii="Verdana" w:hAnsi="Verdana"/>
                <w:noProof/>
                <w:sz w:val="20"/>
                <w:szCs w:val="20"/>
              </w:rPr>
            </w:pPr>
            <w:r w:rsidRPr="00AF6E2D">
              <w:rPr>
                <w:rFonts w:ascii="Verdana" w:hAnsi="Verdana"/>
                <w:noProof/>
                <w:sz w:val="20"/>
                <w:szCs w:val="20"/>
              </w:rPr>
              <w:t>Public consultation</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Comment from the main European manufacturers on the draft opinion of SEAC </w:t>
            </w:r>
          </w:p>
          <w:p w:rsidR="00AF6E2D" w:rsidRPr="00AF6E2D" w:rsidRDefault="00AF6E2D" w:rsidP="001F4FCE">
            <w:pPr>
              <w:rPr>
                <w:rFonts w:ascii="Verdana" w:hAnsi="Verdana"/>
                <w:noProof/>
                <w:sz w:val="20"/>
                <w:szCs w:val="20"/>
              </w:rPr>
            </w:pPr>
            <w:r w:rsidRPr="00AF6E2D">
              <w:rPr>
                <w:rFonts w:ascii="Verdana" w:hAnsi="Verdana"/>
                <w:noProof/>
                <w:sz w:val="20"/>
                <w:szCs w:val="20"/>
              </w:rPr>
              <w:t>---------------------------------------------------------------------------------------------------------------------------------</w:t>
            </w:r>
          </w:p>
          <w:p w:rsidR="00AF6E2D" w:rsidRPr="00AF6E2D" w:rsidRDefault="00AF6E2D" w:rsidP="001F4FCE">
            <w:pPr>
              <w:rPr>
                <w:rFonts w:ascii="Verdana" w:hAnsi="Verdana"/>
                <w:noProof/>
                <w:sz w:val="20"/>
                <w:szCs w:val="20"/>
              </w:rPr>
            </w:pPr>
            <w:r w:rsidRPr="00AF6E2D">
              <w:rPr>
                <w:rFonts w:ascii="Verdana" w:hAnsi="Verdana"/>
                <w:noProof/>
                <w:sz w:val="20"/>
                <w:szCs w:val="20"/>
              </w:rPr>
              <w:t>These comments on the draft SEAC opinion on the 1-METHYL-2-PYRROLIDONE restriction annex XVII dossier are made on behalf of the members of the Cefic 1,4-Butanediol &amp; Derivatives Sector Group (Cefic BDO SG) representing the main European manufactures.</w:t>
            </w:r>
          </w:p>
          <w:p w:rsidR="00AF6E2D" w:rsidRPr="00AF6E2D" w:rsidRDefault="00AF6E2D" w:rsidP="001F4FCE">
            <w:pPr>
              <w:rPr>
                <w:rFonts w:ascii="Verdana" w:hAnsi="Verdana"/>
                <w:noProof/>
                <w:sz w:val="20"/>
                <w:szCs w:val="20"/>
              </w:rPr>
            </w:pPr>
            <w:r w:rsidRPr="00AF6E2D">
              <w:rPr>
                <w:rFonts w:ascii="Verdana" w:hAnsi="Verdana"/>
                <w:noProof/>
                <w:sz w:val="20"/>
                <w:szCs w:val="20"/>
              </w:rPr>
              <w:t>General comments</w:t>
            </w:r>
          </w:p>
          <w:p w:rsidR="00AF6E2D" w:rsidRPr="00AF6E2D" w:rsidRDefault="00AF6E2D" w:rsidP="001F4FCE">
            <w:pPr>
              <w:rPr>
                <w:rFonts w:ascii="Verdana" w:hAnsi="Verdana"/>
                <w:noProof/>
                <w:sz w:val="20"/>
                <w:szCs w:val="20"/>
              </w:rPr>
            </w:pPr>
            <w:r w:rsidRPr="00AF6E2D">
              <w:rPr>
                <w:rFonts w:ascii="Verdana" w:hAnsi="Verdana"/>
                <w:noProof/>
                <w:sz w:val="20"/>
                <w:szCs w:val="20"/>
              </w:rPr>
              <w:t>1.</w:t>
            </w:r>
            <w:r w:rsidRPr="00AF6E2D">
              <w:rPr>
                <w:rFonts w:ascii="Verdana" w:hAnsi="Verdana"/>
                <w:noProof/>
                <w:sz w:val="20"/>
                <w:szCs w:val="20"/>
              </w:rPr>
              <w:tab/>
              <w:t xml:space="preserve">Cefic BDO SG generally supports the NMP restriction.  </w:t>
            </w:r>
          </w:p>
          <w:p w:rsidR="00AF6E2D" w:rsidRPr="00AF6E2D" w:rsidRDefault="00AF6E2D" w:rsidP="001F4FCE">
            <w:pPr>
              <w:rPr>
                <w:rFonts w:ascii="Verdana" w:hAnsi="Verdana"/>
                <w:noProof/>
                <w:sz w:val="20"/>
                <w:szCs w:val="20"/>
              </w:rPr>
            </w:pPr>
            <w:r w:rsidRPr="00AF6E2D">
              <w:rPr>
                <w:rFonts w:ascii="Verdana" w:hAnsi="Verdana"/>
                <w:noProof/>
                <w:sz w:val="20"/>
                <w:szCs w:val="20"/>
              </w:rPr>
              <w:t>2.</w:t>
            </w:r>
            <w:r w:rsidRPr="00AF6E2D">
              <w:rPr>
                <w:rFonts w:ascii="Verdana" w:hAnsi="Verdana"/>
                <w:noProof/>
                <w:sz w:val="20"/>
                <w:szCs w:val="20"/>
              </w:rPr>
              <w:tab/>
              <w:t>From a registrants perspective including a dermal DNEL into the conditions of the restriction does provide clarity. In practice we expect only a small additional economic impact as both DNELs are required for any exposure scenario in the MSDS.</w:t>
            </w:r>
          </w:p>
          <w:p w:rsidR="00AF6E2D" w:rsidRPr="00AF6E2D" w:rsidRDefault="00AF6E2D" w:rsidP="001F4FCE">
            <w:pPr>
              <w:rPr>
                <w:rFonts w:ascii="Verdana" w:hAnsi="Verdana"/>
                <w:noProof/>
                <w:sz w:val="20"/>
                <w:szCs w:val="20"/>
              </w:rPr>
            </w:pPr>
            <w:r w:rsidRPr="00AF6E2D">
              <w:rPr>
                <w:rFonts w:ascii="Verdana" w:hAnsi="Verdana"/>
                <w:noProof/>
                <w:sz w:val="20"/>
                <w:szCs w:val="20"/>
              </w:rPr>
              <w:t>3.</w:t>
            </w:r>
            <w:r w:rsidRPr="00AF6E2D">
              <w:rPr>
                <w:rFonts w:ascii="Verdana" w:hAnsi="Verdana"/>
                <w:noProof/>
                <w:sz w:val="20"/>
                <w:szCs w:val="20"/>
              </w:rPr>
              <w:tab/>
              <w:t>Despite being generally supportive, Cefic BDO SG still sees some room for improvement for the NMP restriction for example:</w:t>
            </w:r>
          </w:p>
          <w:p w:rsidR="00AF6E2D" w:rsidRPr="00AF6E2D" w:rsidRDefault="00AF6E2D" w:rsidP="001F4FCE">
            <w:pPr>
              <w:rPr>
                <w:rFonts w:ascii="Verdana" w:hAnsi="Verdana"/>
                <w:noProof/>
                <w:sz w:val="20"/>
                <w:szCs w:val="20"/>
              </w:rPr>
            </w:pPr>
            <w:r w:rsidRPr="00AF6E2D">
              <w:rPr>
                <w:rFonts w:ascii="Verdana" w:hAnsi="Verdana"/>
                <w:noProof/>
                <w:sz w:val="20"/>
                <w:szCs w:val="20"/>
              </w:rPr>
              <w:t>a.</w:t>
            </w:r>
            <w:r w:rsidRPr="00AF6E2D">
              <w:rPr>
                <w:rFonts w:ascii="Verdana" w:hAnsi="Verdana"/>
                <w:noProof/>
                <w:sz w:val="20"/>
                <w:szCs w:val="20"/>
              </w:rPr>
              <w:tab/>
              <w:t xml:space="preserve">Cefic BDO SG would like to point out that this restriction should define the highest DNEL that still excludes any health risk to the worker. </w:t>
            </w:r>
          </w:p>
          <w:p w:rsidR="00AF6E2D" w:rsidRPr="00AF6E2D" w:rsidRDefault="00AF6E2D" w:rsidP="001F4FCE">
            <w:pPr>
              <w:rPr>
                <w:rFonts w:ascii="Verdana" w:hAnsi="Verdana"/>
                <w:noProof/>
                <w:sz w:val="20"/>
                <w:szCs w:val="20"/>
              </w:rPr>
            </w:pPr>
            <w:r w:rsidRPr="00AF6E2D">
              <w:rPr>
                <w:rFonts w:ascii="Verdana" w:hAnsi="Verdana"/>
                <w:noProof/>
                <w:sz w:val="20"/>
                <w:szCs w:val="20"/>
              </w:rPr>
              <w:t>This should, in the view of SEAC represent the optimal NMP restriction as one can suppose an exponential cost/exposure reduction relationship. Defining a harmonized DNEL lower than needed to avoid risk and assure safe handling will produce additional exposure reduction costs without any health benefit. Furthermore a too low harmonized DNEL may restrict safe uses, which is not the purpose of a restriction.</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 </w:t>
            </w:r>
          </w:p>
          <w:p w:rsidR="00AF6E2D" w:rsidRPr="00AF6E2D" w:rsidRDefault="00AF6E2D" w:rsidP="001F4FCE">
            <w:pPr>
              <w:rPr>
                <w:rFonts w:ascii="Verdana" w:hAnsi="Verdana"/>
                <w:noProof/>
                <w:sz w:val="20"/>
                <w:szCs w:val="20"/>
              </w:rPr>
            </w:pPr>
            <w:r w:rsidRPr="00AF6E2D">
              <w:rPr>
                <w:rFonts w:ascii="Verdana" w:hAnsi="Verdana"/>
                <w:noProof/>
                <w:sz w:val="20"/>
                <w:szCs w:val="20"/>
              </w:rPr>
              <w:t>b.</w:t>
            </w:r>
            <w:r w:rsidRPr="00AF6E2D">
              <w:rPr>
                <w:rFonts w:ascii="Verdana" w:hAnsi="Verdana"/>
                <w:noProof/>
                <w:sz w:val="20"/>
                <w:szCs w:val="20"/>
              </w:rPr>
              <w:tab/>
              <w:t xml:space="preserve">The negative economic impact of the restriction is driven mostly by the proposed DNEL that is significantly lower than the IOEL currently in use in most EU countries (40 mg/m³ 8 h TWA). The IOEL value is equivalent to dermal uptake of 5.7 mg/kg, supposing light work and a 70 kg worker. Basically it is in line with ECHA guidance principle to use the IOEL value as inhalative DNEL. Furthermore this offers the chance to promote the required harmonization of occupational and chemical legislation and has the lowest economic impact. </w:t>
            </w:r>
          </w:p>
          <w:p w:rsidR="00AF6E2D" w:rsidRPr="00AF6E2D" w:rsidRDefault="00AF6E2D" w:rsidP="001F4FCE">
            <w:pPr>
              <w:rPr>
                <w:rFonts w:ascii="Verdana" w:hAnsi="Verdana"/>
                <w:noProof/>
                <w:sz w:val="20"/>
                <w:szCs w:val="20"/>
              </w:rPr>
            </w:pPr>
            <w:r w:rsidRPr="00AF6E2D">
              <w:rPr>
                <w:rFonts w:ascii="Verdana" w:hAnsi="Verdana"/>
                <w:noProof/>
                <w:sz w:val="20"/>
                <w:szCs w:val="20"/>
              </w:rPr>
              <w:t>c.</w:t>
            </w:r>
            <w:r w:rsidRPr="00AF6E2D">
              <w:rPr>
                <w:rFonts w:ascii="Verdana" w:hAnsi="Verdana"/>
                <w:noProof/>
                <w:sz w:val="20"/>
                <w:szCs w:val="20"/>
              </w:rPr>
              <w:tab/>
              <w:t xml:space="preserve">It is acknowledged that SEAC cannot derive safe exposure levels and has to provide an opinion on the current proposal as it is. However, SEAC may consider explaining in the opinion that one can suppose in principle an exponential relationship between cost and exposure reduction and ask the commission to consider this aspect when transferring the restriction into the ATP amending annex XVII. </w:t>
            </w:r>
          </w:p>
          <w:p w:rsidR="00AF6E2D" w:rsidRPr="00AF6E2D" w:rsidRDefault="00AF6E2D" w:rsidP="001F4FCE">
            <w:pPr>
              <w:rPr>
                <w:rFonts w:ascii="Verdana" w:hAnsi="Verdana"/>
                <w:noProof/>
                <w:sz w:val="20"/>
                <w:szCs w:val="20"/>
              </w:rPr>
            </w:pPr>
            <w:r w:rsidRPr="00AF6E2D">
              <w:rPr>
                <w:rFonts w:ascii="Verdana" w:hAnsi="Verdana"/>
                <w:noProof/>
                <w:sz w:val="20"/>
                <w:szCs w:val="20"/>
              </w:rPr>
              <w:t>Detailed comments:</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Apart from the general comments Cefic BDO SG would like to make detailed comments on some </w:t>
            </w:r>
            <w:r w:rsidRPr="00AF6E2D">
              <w:rPr>
                <w:rFonts w:ascii="Verdana" w:hAnsi="Verdana"/>
                <w:noProof/>
                <w:sz w:val="20"/>
                <w:szCs w:val="20"/>
              </w:rPr>
              <w:lastRenderedPageBreak/>
              <w:t>assumptions which we believe to be incorrect:</w:t>
            </w:r>
          </w:p>
          <w:p w:rsidR="00AF6E2D" w:rsidRPr="00AF6E2D" w:rsidRDefault="00AF6E2D" w:rsidP="001F4FCE">
            <w:pPr>
              <w:rPr>
                <w:rFonts w:ascii="Verdana" w:hAnsi="Verdana"/>
                <w:noProof/>
                <w:sz w:val="20"/>
                <w:szCs w:val="20"/>
              </w:rPr>
            </w:pPr>
            <w:r w:rsidRPr="00AF6E2D">
              <w:rPr>
                <w:rFonts w:ascii="Verdana" w:hAnsi="Verdana"/>
                <w:noProof/>
                <w:sz w:val="20"/>
                <w:szCs w:val="20"/>
              </w:rPr>
              <w:t>Page 7: “SEAC recognises that authorisation could be a good option in cases where requirements for implementation of risk reduction measures should reflect the individual circumstances, especially in the case where the socio-economic route is followed.”</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Comment: Despite the fact that NMP authorization on the non-adequate control route  (= exposure above the suggested harmonized DNEL) may provide some questionable relief to some individual companies, it will put a very significant cost burden on all the others. </w:t>
            </w:r>
          </w:p>
          <w:p w:rsidR="00AF6E2D" w:rsidRPr="00AF6E2D" w:rsidRDefault="00AF6E2D" w:rsidP="001F4FCE">
            <w:pPr>
              <w:rPr>
                <w:rFonts w:ascii="Verdana" w:hAnsi="Verdana"/>
                <w:noProof/>
                <w:sz w:val="20"/>
                <w:szCs w:val="20"/>
              </w:rPr>
            </w:pPr>
            <w:r w:rsidRPr="00AF6E2D">
              <w:rPr>
                <w:rFonts w:ascii="Verdana" w:hAnsi="Verdana"/>
                <w:noProof/>
                <w:sz w:val="20"/>
                <w:szCs w:val="20"/>
              </w:rPr>
              <w:t>Page 7: “An option for risk management incentives could therefore be to combine a restriction with an authorization approach for such uses.”</w:t>
            </w:r>
          </w:p>
          <w:p w:rsidR="00AF6E2D" w:rsidRPr="00AF6E2D" w:rsidRDefault="00AF6E2D" w:rsidP="001F4FCE">
            <w:pPr>
              <w:rPr>
                <w:rFonts w:ascii="Verdana" w:hAnsi="Verdana"/>
                <w:noProof/>
                <w:sz w:val="20"/>
                <w:szCs w:val="20"/>
              </w:rPr>
            </w:pPr>
            <w:r w:rsidRPr="00AF6E2D">
              <w:rPr>
                <w:rFonts w:ascii="Verdana" w:hAnsi="Verdana"/>
                <w:noProof/>
                <w:sz w:val="20"/>
                <w:szCs w:val="20"/>
              </w:rPr>
              <w:t>Comment: No authorization can be granted for restricted uses. The only way this offer might work as intended, would be that the restriction states that higher exposure requires authorisation. Basically this is the same as exemption for uses being compliant with the value provided in the restriction proposal, and authorisation for all other uses.</w:t>
            </w:r>
          </w:p>
          <w:p w:rsidR="00AF6E2D" w:rsidRPr="00AF6E2D" w:rsidRDefault="00AF6E2D" w:rsidP="001F4FCE">
            <w:pPr>
              <w:rPr>
                <w:rFonts w:ascii="Verdana" w:hAnsi="Verdana"/>
                <w:sz w:val="20"/>
                <w:szCs w:val="20"/>
              </w:rPr>
            </w:pPr>
          </w:p>
        </w:tc>
      </w:tr>
      <w:tr w:rsidR="00AF6E2D" w:rsidRPr="00AF6E2D" w:rsidTr="00452DEB">
        <w:tc>
          <w:tcPr>
            <w:tcW w:w="817" w:type="dxa"/>
            <w:vMerge/>
          </w:tcPr>
          <w:p w:rsidR="00AF6E2D" w:rsidRPr="00AF6E2D" w:rsidRDefault="00AF6E2D" w:rsidP="001F4FCE">
            <w:pPr>
              <w:rPr>
                <w:rFonts w:ascii="Verdana" w:hAnsi="Verdana"/>
                <w:sz w:val="20"/>
                <w:szCs w:val="20"/>
              </w:rPr>
            </w:pPr>
          </w:p>
        </w:tc>
        <w:tc>
          <w:tcPr>
            <w:tcW w:w="2693" w:type="dxa"/>
            <w:vMerge/>
          </w:tcPr>
          <w:p w:rsidR="00AF6E2D" w:rsidRPr="00AF6E2D" w:rsidRDefault="00AF6E2D" w:rsidP="001F4FCE">
            <w:pPr>
              <w:rPr>
                <w:rFonts w:ascii="Verdana" w:hAnsi="Verdana"/>
                <w:b/>
                <w:sz w:val="20"/>
                <w:szCs w:val="20"/>
              </w:rPr>
            </w:pPr>
          </w:p>
        </w:tc>
        <w:tc>
          <w:tcPr>
            <w:tcW w:w="10632" w:type="dxa"/>
            <w:gridSpan w:val="2"/>
          </w:tcPr>
          <w:p w:rsidR="00AF6E2D" w:rsidRPr="00AF6E2D" w:rsidRDefault="00AF6E2D" w:rsidP="001F4FCE">
            <w:pPr>
              <w:rPr>
                <w:rFonts w:ascii="Verdana" w:hAnsi="Verdana"/>
                <w:b/>
                <w:sz w:val="20"/>
                <w:szCs w:val="20"/>
              </w:rPr>
            </w:pPr>
            <w:r w:rsidRPr="00AF6E2D">
              <w:rPr>
                <w:rFonts w:ascii="Verdana" w:hAnsi="Verdana"/>
                <w:b/>
                <w:sz w:val="20"/>
                <w:szCs w:val="20"/>
              </w:rPr>
              <w:t>SEAC Rapporteurs response</w:t>
            </w:r>
          </w:p>
          <w:p w:rsidR="00D12899" w:rsidRPr="00F02B4D" w:rsidRDefault="00FF7D5F" w:rsidP="001F4FCE">
            <w:pPr>
              <w:rPr>
                <w:rFonts w:ascii="Verdana" w:hAnsi="Verdana"/>
                <w:b/>
                <w:sz w:val="20"/>
                <w:szCs w:val="20"/>
              </w:rPr>
            </w:pPr>
            <w:r>
              <w:rPr>
                <w:rFonts w:ascii="Verdana" w:hAnsi="Verdana"/>
                <w:sz w:val="20"/>
                <w:szCs w:val="20"/>
              </w:rPr>
              <w:t xml:space="preserve">Thank you for the comment. We just note that socio-economic considerations are not part of the establishment of DNELs. If higher exposure levels are justified due to cost considerations this has to be accepted by higher mandatory values or as part of the authorization scheme. </w:t>
            </w:r>
            <w:r w:rsidR="00CB6D06">
              <w:rPr>
                <w:rFonts w:ascii="Verdana" w:hAnsi="Verdana"/>
                <w:sz w:val="20"/>
                <w:szCs w:val="20"/>
              </w:rPr>
              <w:t xml:space="preserve">We agree that according to Art. 60.6 a use </w:t>
            </w:r>
            <w:r w:rsidR="00BE0883">
              <w:rPr>
                <w:rFonts w:ascii="Verdana" w:hAnsi="Verdana"/>
                <w:sz w:val="20"/>
                <w:szCs w:val="20"/>
              </w:rPr>
              <w:t>cannot</w:t>
            </w:r>
            <w:r w:rsidR="00CB6D06">
              <w:rPr>
                <w:rFonts w:ascii="Verdana" w:hAnsi="Verdana"/>
                <w:sz w:val="20"/>
                <w:szCs w:val="20"/>
              </w:rPr>
              <w:t xml:space="preserve"> be </w:t>
            </w:r>
            <w:r w:rsidR="00BE0883">
              <w:rPr>
                <w:rFonts w:ascii="Verdana" w:hAnsi="Verdana"/>
                <w:sz w:val="20"/>
                <w:szCs w:val="20"/>
              </w:rPr>
              <w:t>authorised if</w:t>
            </w:r>
            <w:r w:rsidR="00CB6D06">
              <w:rPr>
                <w:rFonts w:ascii="Verdana" w:hAnsi="Verdana"/>
                <w:sz w:val="20"/>
                <w:szCs w:val="20"/>
              </w:rPr>
              <w:t xml:space="preserve"> this would constitute a relax</w:t>
            </w:r>
            <w:r w:rsidR="0044514F">
              <w:rPr>
                <w:rFonts w:ascii="Verdana" w:hAnsi="Verdana"/>
                <w:sz w:val="20"/>
                <w:szCs w:val="20"/>
              </w:rPr>
              <w:t>ation of a restriction.</w:t>
            </w:r>
            <w:r w:rsidR="001515A4">
              <w:rPr>
                <w:rFonts w:ascii="Verdana" w:hAnsi="Verdana"/>
                <w:sz w:val="20"/>
                <w:szCs w:val="20"/>
              </w:rPr>
              <w:t xml:space="preserve"> However there is a technical possibility from a </w:t>
            </w:r>
            <w:r w:rsidR="00D12899">
              <w:rPr>
                <w:rFonts w:ascii="Verdana" w:hAnsi="Verdana"/>
                <w:sz w:val="20"/>
                <w:szCs w:val="20"/>
              </w:rPr>
              <w:t>broader risk</w:t>
            </w:r>
            <w:r w:rsidR="001515A4">
              <w:rPr>
                <w:rFonts w:ascii="Verdana" w:hAnsi="Verdana"/>
                <w:sz w:val="20"/>
                <w:szCs w:val="20"/>
              </w:rPr>
              <w:t xml:space="preserve"> management approach to combine a restriction with authorisation for exempted </w:t>
            </w:r>
            <w:r w:rsidR="00D12899">
              <w:rPr>
                <w:rFonts w:ascii="Verdana" w:hAnsi="Verdana"/>
                <w:sz w:val="20"/>
                <w:szCs w:val="20"/>
              </w:rPr>
              <w:t xml:space="preserve">uses. </w:t>
            </w:r>
            <w:r w:rsidR="00D12899" w:rsidRPr="00F02B4D">
              <w:rPr>
                <w:rFonts w:ascii="Verdana" w:hAnsi="Verdana"/>
                <w:sz w:val="20"/>
                <w:szCs w:val="20"/>
              </w:rPr>
              <w:t>However</w:t>
            </w:r>
            <w:r w:rsidR="00F02B4D">
              <w:rPr>
                <w:rFonts w:ascii="Verdana" w:hAnsi="Verdana"/>
                <w:sz w:val="20"/>
                <w:szCs w:val="20"/>
              </w:rPr>
              <w:t>,</w:t>
            </w:r>
            <w:r w:rsidR="00D12899" w:rsidRPr="00F02B4D">
              <w:rPr>
                <w:rFonts w:ascii="Verdana" w:hAnsi="Verdana"/>
                <w:sz w:val="20"/>
                <w:szCs w:val="20"/>
              </w:rPr>
              <w:t xml:space="preserve"> </w:t>
            </w:r>
            <w:r w:rsidR="0003616B" w:rsidRPr="00F02B4D">
              <w:rPr>
                <w:rFonts w:ascii="Verdana" w:hAnsi="Verdana"/>
                <w:sz w:val="20"/>
                <w:szCs w:val="20"/>
              </w:rPr>
              <w:t xml:space="preserve">this issue would have to be examined by the Commission, </w:t>
            </w:r>
            <w:r w:rsidR="00D12899" w:rsidRPr="00F02B4D">
              <w:rPr>
                <w:rFonts w:ascii="Verdana" w:hAnsi="Verdana"/>
                <w:sz w:val="20"/>
                <w:szCs w:val="20"/>
              </w:rPr>
              <w:t>as SEAC does not give an opinion in terms of legal aspects</w:t>
            </w:r>
            <w:r w:rsidR="002E46E2" w:rsidRPr="00F02B4D">
              <w:rPr>
                <w:rFonts w:ascii="Verdana" w:hAnsi="Verdana"/>
                <w:sz w:val="20"/>
                <w:szCs w:val="20"/>
              </w:rPr>
              <w:t xml:space="preserve">.  In the final </w:t>
            </w:r>
            <w:r w:rsidR="00432041">
              <w:rPr>
                <w:rFonts w:ascii="Verdana" w:hAnsi="Verdana"/>
                <w:sz w:val="20"/>
                <w:szCs w:val="20"/>
              </w:rPr>
              <w:t>opinion,</w:t>
            </w:r>
            <w:r w:rsidR="002E46E2" w:rsidRPr="00F02B4D">
              <w:rPr>
                <w:rFonts w:ascii="Verdana" w:hAnsi="Verdana"/>
                <w:sz w:val="20"/>
                <w:szCs w:val="20"/>
              </w:rPr>
              <w:t xml:space="preserve"> the legal possibility for such a combined regulation is described.</w:t>
            </w:r>
          </w:p>
          <w:p w:rsidR="00AF6E2D" w:rsidRPr="00AF6E2D" w:rsidRDefault="00AF6E2D" w:rsidP="001F4FCE">
            <w:pPr>
              <w:rPr>
                <w:rFonts w:ascii="Verdana" w:hAnsi="Verdana"/>
                <w:sz w:val="20"/>
                <w:szCs w:val="20"/>
              </w:rPr>
            </w:pPr>
          </w:p>
        </w:tc>
      </w:tr>
      <w:tr w:rsidR="00AF6E2D" w:rsidRPr="00AF6E2D" w:rsidTr="00452DEB">
        <w:tc>
          <w:tcPr>
            <w:tcW w:w="817" w:type="dxa"/>
            <w:vMerge w:val="restart"/>
          </w:tcPr>
          <w:p w:rsidR="00AF6E2D" w:rsidRPr="00AF6E2D" w:rsidRDefault="00AF6E2D" w:rsidP="001F4FCE">
            <w:pPr>
              <w:rPr>
                <w:rFonts w:ascii="Verdana" w:hAnsi="Verdana"/>
                <w:sz w:val="20"/>
                <w:szCs w:val="20"/>
              </w:rPr>
            </w:pPr>
            <w:r w:rsidRPr="00AF6E2D">
              <w:rPr>
                <w:rFonts w:ascii="Verdana" w:hAnsi="Verdana"/>
                <w:noProof/>
                <w:sz w:val="20"/>
                <w:szCs w:val="20"/>
              </w:rPr>
              <w:t>121</w:t>
            </w:r>
          </w:p>
        </w:tc>
        <w:tc>
          <w:tcPr>
            <w:tcW w:w="2693" w:type="dxa"/>
            <w:vMerge w:val="restart"/>
          </w:tcPr>
          <w:p w:rsidR="00AF6E2D" w:rsidRPr="00AF6E2D" w:rsidRDefault="00AF6E2D" w:rsidP="001F4FCE">
            <w:pPr>
              <w:rPr>
                <w:rFonts w:ascii="Verdana" w:hAnsi="Verdana"/>
                <w:sz w:val="20"/>
                <w:szCs w:val="20"/>
              </w:rPr>
            </w:pPr>
            <w:r w:rsidRPr="00AF6E2D">
              <w:rPr>
                <w:rFonts w:ascii="Verdana" w:hAnsi="Verdana"/>
                <w:b/>
                <w:sz w:val="20"/>
                <w:szCs w:val="20"/>
              </w:rPr>
              <w:t>Date/Time:</w:t>
            </w:r>
            <w:r w:rsidRPr="00AF6E2D">
              <w:rPr>
                <w:rFonts w:ascii="Verdana" w:hAnsi="Verdana"/>
                <w:sz w:val="20"/>
                <w:szCs w:val="20"/>
              </w:rPr>
              <w:t xml:space="preserve"> </w:t>
            </w:r>
            <w:r w:rsidRPr="00AF6E2D">
              <w:rPr>
                <w:rFonts w:ascii="Verdana" w:hAnsi="Verdana"/>
                <w:noProof/>
                <w:sz w:val="20"/>
                <w:szCs w:val="20"/>
              </w:rPr>
              <w:t>2014/11/13 20:45</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r w:rsidRPr="00AF6E2D">
              <w:rPr>
                <w:rFonts w:ascii="Verdana" w:hAnsi="Verdana"/>
                <w:b/>
                <w:sz w:val="20"/>
                <w:szCs w:val="20"/>
              </w:rPr>
              <w:t>Type:</w:t>
            </w:r>
            <w:r w:rsidRPr="00AF6E2D">
              <w:rPr>
                <w:rFonts w:ascii="Verdana" w:hAnsi="Verdana"/>
                <w:sz w:val="20"/>
                <w:szCs w:val="20"/>
              </w:rPr>
              <w:t xml:space="preserve"> </w:t>
            </w:r>
            <w:r w:rsidRPr="00AF6E2D">
              <w:rPr>
                <w:rFonts w:ascii="Verdana" w:hAnsi="Verdana"/>
                <w:noProof/>
                <w:sz w:val="20"/>
                <w:szCs w:val="20"/>
              </w:rPr>
              <w:t>National Authority</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noProof/>
                <w:sz w:val="20"/>
                <w:szCs w:val="20"/>
              </w:rPr>
            </w:pPr>
            <w:r w:rsidRPr="00AF6E2D">
              <w:rPr>
                <w:rFonts w:ascii="Verdana" w:hAnsi="Verdana"/>
                <w:b/>
                <w:sz w:val="20"/>
                <w:szCs w:val="20"/>
              </w:rPr>
              <w:t xml:space="preserve">Country: </w:t>
            </w:r>
            <w:r w:rsidRPr="00AF6E2D">
              <w:rPr>
                <w:rFonts w:ascii="Verdana" w:hAnsi="Verdana"/>
                <w:noProof/>
                <w:sz w:val="20"/>
                <w:szCs w:val="20"/>
              </w:rPr>
              <w:t>Austria</w:t>
            </w:r>
          </w:p>
          <w:p w:rsidR="00AF6E2D" w:rsidRPr="00AF6E2D" w:rsidRDefault="00AF6E2D" w:rsidP="001F4FCE">
            <w:pPr>
              <w:rPr>
                <w:rFonts w:ascii="Verdana" w:hAnsi="Verdana"/>
                <w:noProof/>
                <w:sz w:val="20"/>
                <w:szCs w:val="20"/>
              </w:rPr>
            </w:pPr>
          </w:p>
          <w:p w:rsidR="00AF6E2D" w:rsidRPr="00AF6E2D" w:rsidRDefault="00AF6E2D" w:rsidP="001F4FCE">
            <w:pPr>
              <w:rPr>
                <w:rFonts w:ascii="Verdana" w:hAnsi="Verdana"/>
                <w:sz w:val="20"/>
                <w:szCs w:val="20"/>
              </w:rPr>
            </w:pPr>
            <w:r w:rsidRPr="00AF6E2D">
              <w:rPr>
                <w:rFonts w:ascii="Verdana" w:hAnsi="Verdana"/>
                <w:b/>
                <w:noProof/>
                <w:sz w:val="20"/>
                <w:szCs w:val="20"/>
              </w:rPr>
              <w:t xml:space="preserve">Name confidential: </w:t>
            </w:r>
            <w:r w:rsidRPr="00AF6E2D">
              <w:rPr>
                <w:rFonts w:ascii="Verdana" w:hAnsi="Verdana"/>
                <w:noProof/>
                <w:sz w:val="20"/>
                <w:szCs w:val="20"/>
              </w:rPr>
              <w:t>False</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p>
        </w:tc>
        <w:tc>
          <w:tcPr>
            <w:tcW w:w="10632" w:type="dxa"/>
            <w:gridSpan w:val="2"/>
          </w:tcPr>
          <w:p w:rsidR="00AF6E2D" w:rsidRPr="00AF6E2D" w:rsidRDefault="00AF6E2D" w:rsidP="001F4FCE">
            <w:pPr>
              <w:rPr>
                <w:rFonts w:ascii="Verdana" w:hAnsi="Verdana"/>
                <w:b/>
                <w:sz w:val="20"/>
                <w:szCs w:val="20"/>
              </w:rPr>
            </w:pPr>
            <w:r w:rsidRPr="00AF6E2D">
              <w:rPr>
                <w:rFonts w:ascii="Verdana" w:hAnsi="Verdana"/>
                <w:b/>
                <w:sz w:val="20"/>
                <w:szCs w:val="20"/>
              </w:rPr>
              <w:lastRenderedPageBreak/>
              <w:t>Comment:</w:t>
            </w:r>
          </w:p>
          <w:p w:rsidR="00AF6E2D" w:rsidRPr="00AF6E2D" w:rsidRDefault="00AF6E2D" w:rsidP="001F4FCE">
            <w:pPr>
              <w:rPr>
                <w:rFonts w:ascii="Verdana" w:hAnsi="Verdana"/>
                <w:noProof/>
                <w:sz w:val="20"/>
                <w:szCs w:val="20"/>
              </w:rPr>
            </w:pPr>
            <w:r w:rsidRPr="00AF6E2D">
              <w:rPr>
                <w:rFonts w:ascii="Verdana" w:hAnsi="Verdana"/>
                <w:noProof/>
                <w:sz w:val="20"/>
                <w:szCs w:val="20"/>
              </w:rPr>
              <w:t>The proposal is as follows:</w:t>
            </w:r>
          </w:p>
          <w:p w:rsidR="00AF6E2D" w:rsidRPr="00AF6E2D" w:rsidRDefault="00AF6E2D" w:rsidP="001F4FCE">
            <w:pPr>
              <w:rPr>
                <w:rFonts w:ascii="Verdana" w:hAnsi="Verdana"/>
                <w:noProof/>
                <w:sz w:val="20"/>
                <w:szCs w:val="20"/>
              </w:rPr>
            </w:pPr>
            <w:r w:rsidRPr="00AF6E2D">
              <w:rPr>
                <w:rFonts w:ascii="Verdana" w:hAnsi="Verdana"/>
                <w:noProof/>
                <w:sz w:val="20"/>
                <w:szCs w:val="20"/>
              </w:rPr>
              <w:t>“Manufacturers, importers and downstream users of the substance on its own or in mixtures in a concentration equal or greater than 0.3% shall use in their chemical safety assessment and safety data sheets by [xx.yy.zzzz] a Derived No Effect Level (DNEL) value for workers inhalation of 10 mg/m3 and a DNEL for workers dermal exposure of 4.8 mg/kg/day.”</w:t>
            </w:r>
          </w:p>
          <w:p w:rsidR="00AF6E2D" w:rsidRPr="00AF6E2D" w:rsidRDefault="00AF6E2D" w:rsidP="001F4FCE">
            <w:pPr>
              <w:rPr>
                <w:rFonts w:ascii="Verdana" w:hAnsi="Verdana"/>
                <w:noProof/>
                <w:sz w:val="20"/>
                <w:szCs w:val="20"/>
              </w:rPr>
            </w:pPr>
            <w:r w:rsidRPr="00AF6E2D">
              <w:rPr>
                <w:rFonts w:ascii="Verdana" w:hAnsi="Verdana"/>
                <w:noProof/>
                <w:sz w:val="20"/>
                <w:szCs w:val="20"/>
              </w:rPr>
              <w:t>This proposal does not contain any provision for concentration below 0.3%. In particular in the case of dermal exposure low concentration can lead to high resorption through the skin. In the SCOEL Recommendation N-Methyl-2-Pyrrolidone explicitly is marked with “Skin” Notation.</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A Safety data sheet has to be provided for concentration of reprotoxic substances if they are contained in a mixture above 0.1% (see Annex II part 2.10 footnote 1 to table 3.7.2 CLP-regulation). Therefore it is strongly misleading stating that a safety data sheet only “shall be used” from 0.3%. </w:t>
            </w:r>
          </w:p>
          <w:p w:rsidR="00AF6E2D" w:rsidRPr="00AF6E2D" w:rsidRDefault="00AF6E2D" w:rsidP="001F4FCE">
            <w:pPr>
              <w:rPr>
                <w:rFonts w:ascii="Verdana" w:hAnsi="Verdana"/>
                <w:noProof/>
                <w:sz w:val="20"/>
                <w:szCs w:val="20"/>
              </w:rPr>
            </w:pPr>
            <w:r w:rsidRPr="00AF6E2D">
              <w:rPr>
                <w:rFonts w:ascii="Verdana" w:hAnsi="Verdana"/>
                <w:noProof/>
                <w:sz w:val="20"/>
                <w:szCs w:val="20"/>
              </w:rPr>
              <w:lastRenderedPageBreak/>
              <w:t>Proposal: We strongly suggest to delete the denomination of any concentration range and to delete the words “in a concentration equal or greater than 0.3%”.</w:t>
            </w:r>
          </w:p>
          <w:p w:rsidR="00AF6E2D" w:rsidRPr="00AF6E2D" w:rsidRDefault="00AF6E2D" w:rsidP="001F4FCE">
            <w:pPr>
              <w:rPr>
                <w:rFonts w:ascii="Verdana" w:hAnsi="Verdana"/>
                <w:noProof/>
                <w:sz w:val="20"/>
                <w:szCs w:val="20"/>
              </w:rPr>
            </w:pPr>
            <w:r w:rsidRPr="00AF6E2D">
              <w:rPr>
                <w:rFonts w:ascii="Verdana" w:hAnsi="Verdana"/>
                <w:noProof/>
                <w:sz w:val="20"/>
                <w:szCs w:val="20"/>
              </w:rPr>
              <w:t>general comment (several pages):</w:t>
            </w:r>
          </w:p>
          <w:p w:rsidR="00AF6E2D" w:rsidRPr="00AF6E2D" w:rsidRDefault="00AF6E2D" w:rsidP="001F4FCE">
            <w:pPr>
              <w:rPr>
                <w:rFonts w:ascii="Verdana" w:hAnsi="Verdana"/>
                <w:noProof/>
                <w:sz w:val="20"/>
                <w:szCs w:val="20"/>
              </w:rPr>
            </w:pPr>
            <w:r w:rsidRPr="00AF6E2D">
              <w:rPr>
                <w:rFonts w:ascii="Verdana" w:hAnsi="Verdana"/>
                <w:noProof/>
                <w:sz w:val="20"/>
                <w:szCs w:val="20"/>
              </w:rPr>
              <w:t>There is a basic contradiction in the justification parts. The justification refers several times to exposure scenarios:</w:t>
            </w:r>
          </w:p>
          <w:p w:rsidR="00AF6E2D" w:rsidRPr="00AF6E2D" w:rsidRDefault="00AF6E2D" w:rsidP="001F4FCE">
            <w:pPr>
              <w:rPr>
                <w:rFonts w:ascii="Verdana" w:hAnsi="Verdana"/>
                <w:noProof/>
                <w:sz w:val="20"/>
                <w:szCs w:val="20"/>
              </w:rPr>
            </w:pPr>
            <w:r w:rsidRPr="00AF6E2D">
              <w:rPr>
                <w:rFonts w:ascii="Verdana" w:hAnsi="Verdana"/>
                <w:noProof/>
                <w:sz w:val="20"/>
                <w:szCs w:val="20"/>
              </w:rPr>
              <w:t>e.g.:</w:t>
            </w:r>
          </w:p>
          <w:p w:rsidR="00AF6E2D" w:rsidRPr="00AF6E2D" w:rsidRDefault="00AF6E2D" w:rsidP="001F4FCE">
            <w:pPr>
              <w:rPr>
                <w:rFonts w:ascii="Verdana" w:hAnsi="Verdana"/>
                <w:noProof/>
                <w:sz w:val="20"/>
                <w:szCs w:val="20"/>
              </w:rPr>
            </w:pPr>
            <w:r w:rsidRPr="00AF6E2D">
              <w:rPr>
                <w:rFonts w:ascii="Verdana" w:hAnsi="Verdana"/>
                <w:noProof/>
                <w:sz w:val="20"/>
                <w:szCs w:val="20"/>
              </w:rPr>
              <w:t>“The resulting exposure scenarios would have to recommend concrete and use-specific operational conditions and risk management measures to ensure that the inhalation and dermal exposures on average over a day are below the DNEL values and the combined RCR are also below 1.” (page 3)</w:t>
            </w:r>
          </w:p>
          <w:p w:rsidR="00AF6E2D" w:rsidRPr="00AF6E2D" w:rsidRDefault="00AF6E2D" w:rsidP="001F4FCE">
            <w:pPr>
              <w:rPr>
                <w:rFonts w:ascii="Verdana" w:hAnsi="Verdana"/>
                <w:noProof/>
                <w:sz w:val="20"/>
                <w:szCs w:val="20"/>
              </w:rPr>
            </w:pPr>
            <w:r w:rsidRPr="00AF6E2D">
              <w:rPr>
                <w:rFonts w:ascii="Verdana" w:hAnsi="Verdana"/>
                <w:noProof/>
                <w:sz w:val="20"/>
                <w:szCs w:val="20"/>
              </w:rPr>
              <w:t>“Users are obliged to implement conditions described in the scenarios” (page 3)</w:t>
            </w:r>
          </w:p>
          <w:p w:rsidR="00AF6E2D" w:rsidRPr="00AF6E2D" w:rsidRDefault="00AF6E2D" w:rsidP="001F4FCE">
            <w:pPr>
              <w:rPr>
                <w:rFonts w:ascii="Verdana" w:hAnsi="Verdana"/>
                <w:noProof/>
                <w:sz w:val="20"/>
                <w:szCs w:val="20"/>
              </w:rPr>
            </w:pPr>
            <w:r w:rsidRPr="00AF6E2D">
              <w:rPr>
                <w:rFonts w:ascii="Verdana" w:hAnsi="Verdana"/>
                <w:noProof/>
                <w:sz w:val="20"/>
                <w:szCs w:val="20"/>
              </w:rPr>
              <w:t>It must be emphasised that REACH guidance documents ONLY envisage exposure scenarios for substances and NOT for mixtures (which is the case for NMP)! The good looking justifications will get to nowhere. In most cases downstream users will get the DNEL in their “normal” SDS but no RMM because there is no need of providing an eSDS.</w:t>
            </w:r>
          </w:p>
          <w:p w:rsidR="00AF6E2D" w:rsidRPr="00AF6E2D" w:rsidRDefault="00AF6E2D" w:rsidP="001F4FCE">
            <w:pPr>
              <w:rPr>
                <w:rFonts w:ascii="Verdana" w:hAnsi="Verdana"/>
                <w:noProof/>
                <w:sz w:val="20"/>
                <w:szCs w:val="20"/>
              </w:rPr>
            </w:pPr>
            <w:r w:rsidRPr="00AF6E2D">
              <w:rPr>
                <w:rFonts w:ascii="Verdana" w:hAnsi="Verdana"/>
                <w:noProof/>
                <w:sz w:val="20"/>
                <w:szCs w:val="20"/>
              </w:rPr>
              <w:t>From the RAC Draft Opinion:</w:t>
            </w:r>
          </w:p>
          <w:p w:rsidR="00AF6E2D" w:rsidRPr="00AF6E2D" w:rsidRDefault="00AF6E2D" w:rsidP="001F4FCE">
            <w:pPr>
              <w:rPr>
                <w:rFonts w:ascii="Verdana" w:hAnsi="Verdana"/>
                <w:noProof/>
                <w:sz w:val="20"/>
                <w:szCs w:val="20"/>
              </w:rPr>
            </w:pPr>
            <w:r w:rsidRPr="00AF6E2D">
              <w:rPr>
                <w:rFonts w:ascii="Verdana" w:hAnsi="Verdana"/>
                <w:noProof/>
                <w:sz w:val="20"/>
                <w:szCs w:val="20"/>
              </w:rPr>
              <w:t>“It is therefore concluded that the risk characterisation shows that risks for (pregnant) workers are not sufficiently controlled, and that the risk assessment shows that FURTHER risk management measures (than those expressed to be used in the registration dossier) are needed.” (page 11)</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There are no such “FURTHER risk management measures” that are necessary due to the opinion of the RAC in the proposed entry for Annex XVII. </w:t>
            </w:r>
          </w:p>
          <w:p w:rsidR="00AF6E2D" w:rsidRPr="00AF6E2D" w:rsidRDefault="00AF6E2D" w:rsidP="001F4FCE">
            <w:pPr>
              <w:rPr>
                <w:rFonts w:ascii="Verdana" w:hAnsi="Verdana"/>
                <w:noProof/>
                <w:sz w:val="20"/>
                <w:szCs w:val="20"/>
              </w:rPr>
            </w:pPr>
            <w:r w:rsidRPr="00AF6E2D">
              <w:rPr>
                <w:rFonts w:ascii="Verdana" w:hAnsi="Verdana"/>
                <w:noProof/>
                <w:sz w:val="20"/>
                <w:szCs w:val="20"/>
              </w:rPr>
              <w:t>Proposal: A mixture containing NMP must be provided with a safety data sheet including all relevant exposure scenarios. Thus the entry in Annex XVII must be supplemented by the following sentence:</w:t>
            </w:r>
          </w:p>
          <w:p w:rsidR="00AF6E2D" w:rsidRPr="00AF6E2D" w:rsidRDefault="00AF6E2D" w:rsidP="001F4FCE">
            <w:pPr>
              <w:rPr>
                <w:rFonts w:ascii="Verdana" w:hAnsi="Verdana"/>
                <w:noProof/>
                <w:sz w:val="20"/>
                <w:szCs w:val="20"/>
              </w:rPr>
            </w:pPr>
            <w:r w:rsidRPr="00AF6E2D">
              <w:rPr>
                <w:rFonts w:ascii="Verdana" w:hAnsi="Verdana"/>
                <w:noProof/>
                <w:sz w:val="20"/>
                <w:szCs w:val="20"/>
              </w:rPr>
              <w:t>“Chemical safety assessments and safety data sheets shall include all relevant exposure scenarios.”</w:t>
            </w:r>
          </w:p>
          <w:p w:rsidR="00AF6E2D" w:rsidRPr="00AF6E2D" w:rsidRDefault="00AF6E2D" w:rsidP="001F4FCE">
            <w:pPr>
              <w:rPr>
                <w:rFonts w:ascii="Verdana" w:hAnsi="Verdana"/>
                <w:noProof/>
                <w:sz w:val="20"/>
                <w:szCs w:val="20"/>
              </w:rPr>
            </w:pPr>
            <w:r w:rsidRPr="00AF6E2D">
              <w:rPr>
                <w:rFonts w:ascii="Verdana" w:hAnsi="Verdana"/>
                <w:noProof/>
                <w:sz w:val="20"/>
                <w:szCs w:val="20"/>
              </w:rPr>
              <w:t>Otherwise the opinion cannot be agreed. If the supply of ES is not granted, other RMO have to be faced (e.g. a total ban or a case by case authorisation).</w:t>
            </w:r>
          </w:p>
          <w:p w:rsidR="00AF6E2D" w:rsidRPr="00AF6E2D" w:rsidRDefault="00AF6E2D" w:rsidP="001F4FCE">
            <w:pPr>
              <w:rPr>
                <w:rFonts w:ascii="Verdana" w:hAnsi="Verdana"/>
                <w:noProof/>
                <w:sz w:val="20"/>
                <w:szCs w:val="20"/>
              </w:rPr>
            </w:pPr>
            <w:r w:rsidRPr="00AF6E2D">
              <w:rPr>
                <w:rFonts w:ascii="Verdana" w:hAnsi="Verdana"/>
                <w:noProof/>
                <w:sz w:val="20"/>
                <w:szCs w:val="20"/>
              </w:rPr>
              <w:t>page 10</w:t>
            </w:r>
          </w:p>
          <w:p w:rsidR="00AF6E2D" w:rsidRPr="00AF6E2D" w:rsidRDefault="00AF6E2D" w:rsidP="001F4FCE">
            <w:pPr>
              <w:rPr>
                <w:rFonts w:ascii="Verdana" w:hAnsi="Verdana"/>
                <w:noProof/>
                <w:sz w:val="20"/>
                <w:szCs w:val="20"/>
              </w:rPr>
            </w:pPr>
            <w:r w:rsidRPr="00AF6E2D">
              <w:rPr>
                <w:rFonts w:ascii="Verdana" w:hAnsi="Verdana"/>
                <w:noProof/>
                <w:sz w:val="20"/>
                <w:szCs w:val="20"/>
              </w:rPr>
              <w:t>It should be mentioned that NMP is used in many industrial fields (e.g. wire winding industry, battery, chemical synthesis, semiconductor production, etc.). These industries employ female workers. Excluding women from all these work places because of the use of NMP would be discriminatory and is contradictory to the aim of the Lisbon treaty (enhancement the number of employed people).</w:t>
            </w:r>
          </w:p>
          <w:p w:rsidR="00AF6E2D" w:rsidRPr="00AF6E2D" w:rsidRDefault="00AF6E2D" w:rsidP="001F4FCE">
            <w:pPr>
              <w:rPr>
                <w:rFonts w:ascii="Verdana" w:hAnsi="Verdana"/>
                <w:noProof/>
                <w:sz w:val="20"/>
                <w:szCs w:val="20"/>
              </w:rPr>
            </w:pPr>
            <w:r w:rsidRPr="00AF6E2D">
              <w:rPr>
                <w:rFonts w:ascii="Verdana" w:hAnsi="Verdana"/>
                <w:noProof/>
                <w:sz w:val="20"/>
                <w:szCs w:val="20"/>
              </w:rPr>
              <w:t>Date of enforcement:</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 A time scale of 60 months seems to be rather long taking into account the fact that the discussion on this restriction is ongoing for years. Additionally the final decision of the inclusion into Annex XVII will still take its time. Thus a shorter transmission period, no longer than 48 months, is suggested.</w:t>
            </w:r>
          </w:p>
          <w:p w:rsidR="00AF6E2D" w:rsidRPr="00AF6E2D" w:rsidRDefault="00AF6E2D" w:rsidP="001F4FCE">
            <w:pPr>
              <w:rPr>
                <w:rFonts w:ascii="Verdana" w:hAnsi="Verdana"/>
                <w:sz w:val="20"/>
                <w:szCs w:val="20"/>
              </w:rPr>
            </w:pPr>
          </w:p>
        </w:tc>
      </w:tr>
      <w:tr w:rsidR="00AF6E2D" w:rsidRPr="00AF6E2D" w:rsidTr="00452DEB">
        <w:tc>
          <w:tcPr>
            <w:tcW w:w="817" w:type="dxa"/>
            <w:vMerge/>
          </w:tcPr>
          <w:p w:rsidR="00AF6E2D" w:rsidRPr="00AF6E2D" w:rsidRDefault="00AF6E2D" w:rsidP="001F4FCE">
            <w:pPr>
              <w:rPr>
                <w:rFonts w:ascii="Verdana" w:hAnsi="Verdana"/>
                <w:sz w:val="20"/>
                <w:szCs w:val="20"/>
              </w:rPr>
            </w:pPr>
          </w:p>
        </w:tc>
        <w:tc>
          <w:tcPr>
            <w:tcW w:w="2693" w:type="dxa"/>
            <w:vMerge/>
          </w:tcPr>
          <w:p w:rsidR="00AF6E2D" w:rsidRPr="00AF6E2D" w:rsidRDefault="00AF6E2D" w:rsidP="001F4FCE">
            <w:pPr>
              <w:rPr>
                <w:rFonts w:ascii="Verdana" w:hAnsi="Verdana"/>
                <w:b/>
                <w:sz w:val="20"/>
                <w:szCs w:val="20"/>
              </w:rPr>
            </w:pPr>
          </w:p>
        </w:tc>
        <w:tc>
          <w:tcPr>
            <w:tcW w:w="10632" w:type="dxa"/>
            <w:gridSpan w:val="2"/>
          </w:tcPr>
          <w:p w:rsidR="00AF6E2D" w:rsidRPr="00AF6E2D" w:rsidRDefault="00AF6E2D" w:rsidP="001F4FCE">
            <w:pPr>
              <w:rPr>
                <w:rFonts w:ascii="Verdana" w:hAnsi="Verdana"/>
                <w:b/>
                <w:sz w:val="20"/>
                <w:szCs w:val="20"/>
              </w:rPr>
            </w:pPr>
            <w:r w:rsidRPr="00AF6E2D">
              <w:rPr>
                <w:rFonts w:ascii="Verdana" w:hAnsi="Verdana"/>
                <w:b/>
                <w:sz w:val="20"/>
                <w:szCs w:val="20"/>
              </w:rPr>
              <w:t>SEAC Rapporteurs response</w:t>
            </w:r>
          </w:p>
          <w:p w:rsidR="00FF7D5F" w:rsidRPr="00FF7D5F" w:rsidRDefault="00FF7D5F" w:rsidP="00FF7D5F">
            <w:pPr>
              <w:rPr>
                <w:rFonts w:ascii="Verdana" w:hAnsi="Verdana"/>
                <w:sz w:val="20"/>
                <w:szCs w:val="20"/>
              </w:rPr>
            </w:pPr>
            <w:r>
              <w:rPr>
                <w:rFonts w:ascii="Verdana" w:hAnsi="Verdana"/>
                <w:sz w:val="20"/>
                <w:szCs w:val="20"/>
              </w:rPr>
              <w:t>Thank you for the comment</w:t>
            </w:r>
            <w:r w:rsidR="00432041">
              <w:rPr>
                <w:rFonts w:ascii="Verdana" w:hAnsi="Verdana"/>
                <w:sz w:val="20"/>
                <w:szCs w:val="20"/>
              </w:rPr>
              <w:t>.</w:t>
            </w:r>
            <w:r>
              <w:rPr>
                <w:rFonts w:ascii="Verdana" w:hAnsi="Verdana"/>
                <w:sz w:val="20"/>
                <w:szCs w:val="20"/>
              </w:rPr>
              <w:t xml:space="preserve"> </w:t>
            </w:r>
            <w:r w:rsidRPr="00FF7D5F">
              <w:rPr>
                <w:rFonts w:ascii="Verdana" w:hAnsi="Verdana"/>
                <w:sz w:val="20"/>
                <w:szCs w:val="20"/>
              </w:rPr>
              <w:t xml:space="preserve">According to </w:t>
            </w:r>
            <w:r w:rsidR="00432041">
              <w:rPr>
                <w:rFonts w:ascii="Verdana" w:hAnsi="Verdana"/>
                <w:sz w:val="20"/>
                <w:szCs w:val="20"/>
              </w:rPr>
              <w:t xml:space="preserve">the </w:t>
            </w:r>
            <w:r>
              <w:rPr>
                <w:rFonts w:ascii="Verdana" w:hAnsi="Verdana"/>
                <w:sz w:val="20"/>
                <w:szCs w:val="20"/>
              </w:rPr>
              <w:t>ECHA</w:t>
            </w:r>
            <w:r w:rsidR="00432041">
              <w:rPr>
                <w:rFonts w:ascii="Verdana" w:hAnsi="Verdana"/>
                <w:sz w:val="20"/>
                <w:szCs w:val="20"/>
              </w:rPr>
              <w:t>'</w:t>
            </w:r>
            <w:r>
              <w:rPr>
                <w:rFonts w:ascii="Verdana" w:hAnsi="Verdana"/>
                <w:sz w:val="20"/>
                <w:szCs w:val="20"/>
              </w:rPr>
              <w:t>s</w:t>
            </w:r>
            <w:r w:rsidRPr="00FF7D5F">
              <w:rPr>
                <w:rFonts w:ascii="Verdana" w:hAnsi="Verdana"/>
                <w:sz w:val="20"/>
                <w:szCs w:val="20"/>
              </w:rPr>
              <w:t xml:space="preserve"> website info on obligations of DUs – </w:t>
            </w:r>
            <w:r w:rsidRPr="00FF7D5F">
              <w:rPr>
                <w:rFonts w:ascii="Verdana" w:hAnsi="Verdana"/>
                <w:sz w:val="20"/>
                <w:szCs w:val="20"/>
              </w:rPr>
              <w:lastRenderedPageBreak/>
              <w:t xml:space="preserve">‘Downstream users who supply hazardous substances, as such or in a mixture, have to communicate information regarding the safe use to their own customers. This should be in the form of a safety data sheet or otherwise, as required.’  </w:t>
            </w:r>
          </w:p>
          <w:p w:rsidR="00FF7D5F" w:rsidRPr="00FF7D5F" w:rsidRDefault="00FF7D5F" w:rsidP="00FF7D5F">
            <w:pPr>
              <w:rPr>
                <w:rFonts w:ascii="Verdana" w:hAnsi="Verdana"/>
                <w:sz w:val="20"/>
                <w:szCs w:val="20"/>
              </w:rPr>
            </w:pPr>
          </w:p>
          <w:p w:rsidR="00FF7D5F" w:rsidRPr="00FF7D5F" w:rsidRDefault="00FF7D5F" w:rsidP="00FF7D5F">
            <w:pPr>
              <w:rPr>
                <w:rFonts w:ascii="Verdana" w:hAnsi="Verdana"/>
                <w:sz w:val="20"/>
                <w:szCs w:val="20"/>
              </w:rPr>
            </w:pPr>
            <w:r w:rsidRPr="00FF7D5F">
              <w:rPr>
                <w:rFonts w:ascii="Verdana" w:hAnsi="Verdana"/>
                <w:sz w:val="20"/>
                <w:szCs w:val="20"/>
              </w:rPr>
              <w:t xml:space="preserve">The statement, that ESs and SDSs for mixtures are not reflected in REACH guidance is not quite correct. In fact, quite a lot of work </w:t>
            </w:r>
            <w:r w:rsidR="00A03E41">
              <w:rPr>
                <w:rFonts w:ascii="Verdana" w:hAnsi="Verdana"/>
                <w:sz w:val="20"/>
                <w:szCs w:val="20"/>
              </w:rPr>
              <w:t xml:space="preserve">has been and </w:t>
            </w:r>
            <w:r w:rsidRPr="00FF7D5F">
              <w:rPr>
                <w:rFonts w:ascii="Verdana" w:hAnsi="Verdana"/>
                <w:sz w:val="20"/>
                <w:szCs w:val="20"/>
              </w:rPr>
              <w:t xml:space="preserve">is being done by the industry and ECHA to develop a sustainable methodology for preparation of SDSs and ESs for mixtures. </w:t>
            </w:r>
          </w:p>
          <w:p w:rsidR="00FF7D5F" w:rsidRDefault="00FF7D5F" w:rsidP="00FF7D5F">
            <w:pPr>
              <w:rPr>
                <w:rFonts w:ascii="Verdana" w:hAnsi="Verdana"/>
                <w:sz w:val="20"/>
                <w:szCs w:val="20"/>
              </w:rPr>
            </w:pPr>
            <w:r w:rsidRPr="00FF7D5F">
              <w:rPr>
                <w:rFonts w:ascii="Verdana" w:hAnsi="Verdana"/>
                <w:sz w:val="20"/>
                <w:szCs w:val="20"/>
              </w:rPr>
              <w:t xml:space="preserve">Some of this work is reflected in the guidance for DUs: </w:t>
            </w:r>
            <w:hyperlink r:id="rId15" w:history="1">
              <w:r w:rsidRPr="009C2414">
                <w:rPr>
                  <w:rStyle w:val="Hyperlink"/>
                  <w:szCs w:val="20"/>
                </w:rPr>
                <w:t>http://echa.europa.eu/documents/10162/13634/du_en.pdf</w:t>
              </w:r>
            </w:hyperlink>
          </w:p>
          <w:p w:rsidR="00FF7D5F" w:rsidRDefault="00432041" w:rsidP="00FF7D5F">
            <w:pPr>
              <w:rPr>
                <w:rFonts w:ascii="Verdana" w:hAnsi="Verdana"/>
                <w:sz w:val="20"/>
                <w:szCs w:val="20"/>
              </w:rPr>
            </w:pPr>
            <w:r>
              <w:rPr>
                <w:rFonts w:ascii="Verdana" w:hAnsi="Verdana"/>
                <w:sz w:val="20"/>
                <w:szCs w:val="20"/>
              </w:rPr>
              <w:t>-</w:t>
            </w:r>
            <w:r w:rsidR="00FF7D5F" w:rsidRPr="00FF7D5F">
              <w:rPr>
                <w:rFonts w:ascii="Verdana" w:hAnsi="Verdana"/>
                <w:sz w:val="20"/>
                <w:szCs w:val="20"/>
              </w:rPr>
              <w:t xml:space="preserve"> section 7 describes legal obligations related to mixtures under REACH. The issue is also presented in the Guidance in a nutshell: </w:t>
            </w:r>
            <w:hyperlink r:id="rId16" w:history="1">
              <w:r w:rsidR="00FF7D5F" w:rsidRPr="009C2414">
                <w:rPr>
                  <w:rStyle w:val="Hyperlink"/>
                  <w:szCs w:val="20"/>
                </w:rPr>
                <w:t>http://echa.europa.eu/documents/10162/13634/du_nutshell_guidance_en.pdf</w:t>
              </w:r>
            </w:hyperlink>
          </w:p>
          <w:p w:rsidR="00FF7D5F" w:rsidRDefault="00432041" w:rsidP="00FF7D5F">
            <w:pPr>
              <w:rPr>
                <w:rFonts w:ascii="Verdana" w:hAnsi="Verdana"/>
                <w:sz w:val="20"/>
                <w:szCs w:val="20"/>
              </w:rPr>
            </w:pPr>
            <w:r>
              <w:rPr>
                <w:rFonts w:ascii="Verdana" w:hAnsi="Verdana"/>
                <w:sz w:val="20"/>
                <w:szCs w:val="20"/>
              </w:rPr>
              <w:t>-</w:t>
            </w:r>
            <w:r w:rsidR="00FF7D5F" w:rsidRPr="00FF7D5F">
              <w:rPr>
                <w:rFonts w:ascii="Verdana" w:hAnsi="Verdana"/>
                <w:sz w:val="20"/>
                <w:szCs w:val="20"/>
              </w:rPr>
              <w:t xml:space="preserve"> in section 6.</w:t>
            </w:r>
          </w:p>
          <w:p w:rsidR="00FF7D5F" w:rsidRPr="00FF7D5F" w:rsidRDefault="00FF7D5F" w:rsidP="00FF7D5F">
            <w:pPr>
              <w:rPr>
                <w:rFonts w:ascii="Verdana" w:hAnsi="Verdana"/>
                <w:sz w:val="20"/>
                <w:szCs w:val="20"/>
              </w:rPr>
            </w:pPr>
            <w:r w:rsidRPr="00FF7D5F">
              <w:rPr>
                <w:rFonts w:ascii="Verdana" w:hAnsi="Verdana"/>
                <w:sz w:val="20"/>
                <w:szCs w:val="20"/>
              </w:rPr>
              <w:t xml:space="preserve"> </w:t>
            </w:r>
          </w:p>
          <w:p w:rsidR="00AF6E2D" w:rsidRPr="00FF7D5F" w:rsidRDefault="00FF7D5F" w:rsidP="00FF7D5F">
            <w:pPr>
              <w:rPr>
                <w:rFonts w:ascii="Verdana" w:hAnsi="Verdana"/>
                <w:sz w:val="20"/>
                <w:szCs w:val="20"/>
              </w:rPr>
            </w:pPr>
            <w:r w:rsidRPr="00FF7D5F">
              <w:rPr>
                <w:rFonts w:ascii="Verdana" w:hAnsi="Verdana"/>
                <w:sz w:val="20"/>
                <w:szCs w:val="20"/>
              </w:rPr>
              <w:t xml:space="preserve">Basically, SDS does not have to be prepared for a mixture only if none of the components can be considered as hazardous. For NMP – that will </w:t>
            </w:r>
            <w:r>
              <w:rPr>
                <w:rFonts w:ascii="Verdana" w:hAnsi="Verdana"/>
                <w:sz w:val="20"/>
                <w:szCs w:val="20"/>
              </w:rPr>
              <w:t xml:space="preserve">mean very low concentration </w:t>
            </w:r>
            <w:r w:rsidRPr="00FF7D5F">
              <w:rPr>
                <w:rFonts w:ascii="Verdana" w:hAnsi="Verdana"/>
                <w:sz w:val="20"/>
                <w:szCs w:val="20"/>
              </w:rPr>
              <w:t>- recently changed cut-off to 0.3%. Below this concentration – it is considered that there is no health effect, so no need for safe use instructions.</w:t>
            </w:r>
          </w:p>
          <w:p w:rsidR="00AF6E2D" w:rsidRDefault="00AF6E2D" w:rsidP="001F4FCE">
            <w:pPr>
              <w:rPr>
                <w:rFonts w:ascii="Verdana" w:hAnsi="Verdana"/>
                <w:sz w:val="20"/>
                <w:szCs w:val="20"/>
              </w:rPr>
            </w:pPr>
          </w:p>
          <w:p w:rsidR="0044514F" w:rsidRDefault="00FF7D5F" w:rsidP="00FF7D5F">
            <w:pPr>
              <w:rPr>
                <w:rFonts w:ascii="Verdana" w:hAnsi="Verdana"/>
                <w:sz w:val="20"/>
                <w:szCs w:val="20"/>
              </w:rPr>
            </w:pPr>
            <w:r>
              <w:rPr>
                <w:rFonts w:ascii="Verdana" w:hAnsi="Verdana"/>
                <w:sz w:val="20"/>
                <w:szCs w:val="20"/>
              </w:rPr>
              <w:t>As we read the proposed entry, it is</w:t>
            </w:r>
            <w:r w:rsidR="00432041">
              <w:rPr>
                <w:rFonts w:ascii="Verdana" w:hAnsi="Verdana"/>
                <w:sz w:val="20"/>
                <w:szCs w:val="20"/>
              </w:rPr>
              <w:t xml:space="preserve"> not said that SDSs only apply</w:t>
            </w:r>
            <w:r>
              <w:rPr>
                <w:rFonts w:ascii="Verdana" w:hAnsi="Verdana"/>
                <w:sz w:val="20"/>
                <w:szCs w:val="20"/>
              </w:rPr>
              <w:t xml:space="preserve"> for concentrations above 0.3%. However, your comment on the specific wording of the restriction is forwarded to the Commission </w:t>
            </w:r>
            <w:r w:rsidR="0003616B" w:rsidRPr="00E65589">
              <w:rPr>
                <w:rFonts w:ascii="Verdana" w:hAnsi="Verdana"/>
                <w:sz w:val="20"/>
                <w:szCs w:val="20"/>
              </w:rPr>
              <w:t>as the wording of the Annex XVII entry is decided on by the Commission.</w:t>
            </w:r>
          </w:p>
          <w:p w:rsidR="0044514F" w:rsidRDefault="0044514F" w:rsidP="0044514F">
            <w:pPr>
              <w:rPr>
                <w:rFonts w:ascii="Verdana" w:hAnsi="Verdana"/>
                <w:sz w:val="20"/>
                <w:szCs w:val="20"/>
              </w:rPr>
            </w:pPr>
            <w:r>
              <w:rPr>
                <w:rFonts w:ascii="Verdana" w:hAnsi="Verdana"/>
                <w:sz w:val="20"/>
                <w:szCs w:val="20"/>
              </w:rPr>
              <w:t>SEAC has no information that would justify a shorter transitional period than 5 years, also taking the impacts in some sectors, e.g. the wire coating sector into consideration.</w:t>
            </w:r>
          </w:p>
          <w:p w:rsidR="00432041" w:rsidRPr="00AF6E2D" w:rsidRDefault="00432041" w:rsidP="0044514F">
            <w:pPr>
              <w:rPr>
                <w:rFonts w:ascii="Verdana" w:hAnsi="Verdana"/>
                <w:sz w:val="20"/>
                <w:szCs w:val="20"/>
              </w:rPr>
            </w:pPr>
          </w:p>
        </w:tc>
      </w:tr>
      <w:tr w:rsidR="00AF6E2D" w:rsidRPr="00AF6E2D" w:rsidTr="00452DEB">
        <w:tc>
          <w:tcPr>
            <w:tcW w:w="817" w:type="dxa"/>
            <w:vMerge w:val="restart"/>
          </w:tcPr>
          <w:p w:rsidR="00AF6E2D" w:rsidRPr="00AF6E2D" w:rsidRDefault="00AF6E2D" w:rsidP="001F4FCE">
            <w:pPr>
              <w:rPr>
                <w:rFonts w:ascii="Verdana" w:hAnsi="Verdana"/>
                <w:sz w:val="20"/>
                <w:szCs w:val="20"/>
              </w:rPr>
            </w:pPr>
            <w:r w:rsidRPr="00AF6E2D">
              <w:rPr>
                <w:rFonts w:ascii="Verdana" w:hAnsi="Verdana"/>
                <w:noProof/>
                <w:sz w:val="20"/>
                <w:szCs w:val="20"/>
              </w:rPr>
              <w:lastRenderedPageBreak/>
              <w:t>132</w:t>
            </w:r>
          </w:p>
        </w:tc>
        <w:tc>
          <w:tcPr>
            <w:tcW w:w="2693" w:type="dxa"/>
            <w:vMerge w:val="restart"/>
          </w:tcPr>
          <w:p w:rsidR="00AF6E2D" w:rsidRPr="00AF6E2D" w:rsidRDefault="00AF6E2D" w:rsidP="001F4FCE">
            <w:pPr>
              <w:rPr>
                <w:rFonts w:ascii="Verdana" w:hAnsi="Verdana"/>
                <w:sz w:val="20"/>
                <w:szCs w:val="20"/>
              </w:rPr>
            </w:pPr>
            <w:r w:rsidRPr="00AF6E2D">
              <w:rPr>
                <w:rFonts w:ascii="Verdana" w:hAnsi="Verdana"/>
                <w:b/>
                <w:sz w:val="20"/>
                <w:szCs w:val="20"/>
              </w:rPr>
              <w:t>Date/Time:</w:t>
            </w:r>
            <w:r w:rsidRPr="00AF6E2D">
              <w:rPr>
                <w:rFonts w:ascii="Verdana" w:hAnsi="Verdana"/>
                <w:sz w:val="20"/>
                <w:szCs w:val="20"/>
              </w:rPr>
              <w:t xml:space="preserve"> </w:t>
            </w:r>
            <w:r w:rsidRPr="00AF6E2D">
              <w:rPr>
                <w:rFonts w:ascii="Verdana" w:hAnsi="Verdana"/>
                <w:noProof/>
                <w:sz w:val="20"/>
                <w:szCs w:val="20"/>
              </w:rPr>
              <w:t>2014/11/14 09:54</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r w:rsidRPr="00AF6E2D">
              <w:rPr>
                <w:rFonts w:ascii="Verdana" w:hAnsi="Verdana"/>
                <w:b/>
                <w:sz w:val="20"/>
                <w:szCs w:val="20"/>
              </w:rPr>
              <w:t>Type:</w:t>
            </w:r>
            <w:r w:rsidRPr="00AF6E2D">
              <w:rPr>
                <w:rFonts w:ascii="Verdana" w:hAnsi="Verdana"/>
                <w:sz w:val="20"/>
                <w:szCs w:val="20"/>
              </w:rPr>
              <w:t xml:space="preserve"> </w:t>
            </w:r>
            <w:r w:rsidRPr="00AF6E2D">
              <w:rPr>
                <w:rFonts w:ascii="Verdana" w:hAnsi="Verdana"/>
                <w:noProof/>
                <w:sz w:val="20"/>
                <w:szCs w:val="20"/>
              </w:rPr>
              <w:t>Industry or trade association</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noProof/>
                <w:sz w:val="20"/>
                <w:szCs w:val="20"/>
              </w:rPr>
            </w:pPr>
            <w:r w:rsidRPr="00AF6E2D">
              <w:rPr>
                <w:rFonts w:ascii="Verdana" w:hAnsi="Verdana"/>
                <w:b/>
                <w:sz w:val="20"/>
                <w:szCs w:val="20"/>
              </w:rPr>
              <w:t xml:space="preserve">Country: </w:t>
            </w:r>
            <w:r w:rsidRPr="00AF6E2D">
              <w:rPr>
                <w:rFonts w:ascii="Verdana" w:hAnsi="Verdana"/>
                <w:noProof/>
                <w:sz w:val="20"/>
                <w:szCs w:val="20"/>
              </w:rPr>
              <w:t>Belgium</w:t>
            </w:r>
          </w:p>
          <w:p w:rsidR="00AF6E2D" w:rsidRPr="00AF6E2D" w:rsidRDefault="00AF6E2D" w:rsidP="001F4FCE">
            <w:pPr>
              <w:rPr>
                <w:rFonts w:ascii="Verdana" w:hAnsi="Verdana"/>
                <w:noProof/>
                <w:sz w:val="20"/>
                <w:szCs w:val="20"/>
              </w:rPr>
            </w:pPr>
          </w:p>
          <w:p w:rsidR="00AF6E2D" w:rsidRPr="00AF6E2D" w:rsidRDefault="00AF6E2D" w:rsidP="001F4FCE">
            <w:pPr>
              <w:rPr>
                <w:rFonts w:ascii="Verdana" w:hAnsi="Verdana"/>
                <w:sz w:val="20"/>
                <w:szCs w:val="20"/>
              </w:rPr>
            </w:pPr>
            <w:r w:rsidRPr="00AF6E2D">
              <w:rPr>
                <w:rFonts w:ascii="Verdana" w:hAnsi="Verdana"/>
                <w:b/>
                <w:noProof/>
                <w:sz w:val="20"/>
                <w:szCs w:val="20"/>
              </w:rPr>
              <w:t xml:space="preserve">Name confidential: </w:t>
            </w:r>
            <w:r w:rsidRPr="00AF6E2D">
              <w:rPr>
                <w:rFonts w:ascii="Verdana" w:hAnsi="Verdana"/>
                <w:noProof/>
                <w:sz w:val="20"/>
                <w:szCs w:val="20"/>
              </w:rPr>
              <w:t>False</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p>
        </w:tc>
        <w:tc>
          <w:tcPr>
            <w:tcW w:w="10632" w:type="dxa"/>
            <w:gridSpan w:val="2"/>
          </w:tcPr>
          <w:p w:rsidR="00AF6E2D" w:rsidRPr="00AF6E2D" w:rsidRDefault="00AF6E2D" w:rsidP="001F4FCE">
            <w:pPr>
              <w:rPr>
                <w:rFonts w:ascii="Verdana" w:hAnsi="Verdana"/>
                <w:b/>
                <w:sz w:val="20"/>
                <w:szCs w:val="20"/>
              </w:rPr>
            </w:pPr>
            <w:r w:rsidRPr="00AF6E2D">
              <w:rPr>
                <w:rFonts w:ascii="Verdana" w:hAnsi="Verdana"/>
                <w:b/>
                <w:sz w:val="20"/>
                <w:szCs w:val="20"/>
              </w:rPr>
              <w:lastRenderedPageBreak/>
              <w:t>Comment:</w:t>
            </w:r>
          </w:p>
          <w:p w:rsidR="00AF6E2D" w:rsidRPr="00AF6E2D" w:rsidRDefault="00AF6E2D" w:rsidP="001F4FCE">
            <w:pPr>
              <w:rPr>
                <w:rFonts w:ascii="Verdana" w:hAnsi="Verdana"/>
                <w:noProof/>
                <w:sz w:val="20"/>
                <w:szCs w:val="20"/>
              </w:rPr>
            </w:pPr>
            <w:r w:rsidRPr="00AF6E2D">
              <w:rPr>
                <w:rFonts w:ascii="Verdana" w:hAnsi="Verdana"/>
                <w:noProof/>
                <w:sz w:val="20"/>
                <w:szCs w:val="20"/>
              </w:rPr>
              <w:t>EWWG Secretary</w:t>
            </w:r>
          </w:p>
          <w:p w:rsidR="00AF6E2D" w:rsidRPr="00AF6E2D" w:rsidRDefault="00AF6E2D" w:rsidP="001F4FCE">
            <w:pPr>
              <w:rPr>
                <w:rFonts w:ascii="Verdana" w:hAnsi="Verdana"/>
                <w:noProof/>
                <w:sz w:val="20"/>
                <w:szCs w:val="20"/>
              </w:rPr>
            </w:pPr>
            <w:r w:rsidRPr="00AF6E2D">
              <w:rPr>
                <w:rFonts w:ascii="Verdana" w:hAnsi="Verdana"/>
                <w:noProof/>
                <w:sz w:val="20"/>
                <w:szCs w:val="20"/>
              </w:rPr>
              <w:t>L Danel</w:t>
            </w:r>
            <w:r w:rsidRPr="00AF6E2D">
              <w:rPr>
                <w:rFonts w:ascii="Verdana" w:hAnsi="Verdana"/>
                <w:noProof/>
                <w:sz w:val="20"/>
                <w:szCs w:val="20"/>
              </w:rPr>
              <w:tab/>
            </w:r>
          </w:p>
          <w:p w:rsidR="00AF6E2D" w:rsidRPr="00AF6E2D" w:rsidRDefault="00AF6E2D" w:rsidP="001F4FCE">
            <w:pPr>
              <w:rPr>
                <w:rFonts w:ascii="Verdana" w:hAnsi="Verdana"/>
                <w:noProof/>
                <w:sz w:val="20"/>
                <w:szCs w:val="20"/>
              </w:rPr>
            </w:pPr>
            <w:r w:rsidRPr="00AF6E2D">
              <w:rPr>
                <w:rFonts w:ascii="Verdana" w:hAnsi="Verdana"/>
                <w:noProof/>
                <w:sz w:val="20"/>
                <w:szCs w:val="20"/>
              </w:rPr>
              <w:t>Nov. 13th 2014</w:t>
            </w:r>
          </w:p>
          <w:p w:rsidR="00AF6E2D" w:rsidRPr="00AF6E2D" w:rsidRDefault="00AF6E2D" w:rsidP="001F4FCE">
            <w:pPr>
              <w:rPr>
                <w:rFonts w:ascii="Verdana" w:hAnsi="Verdana"/>
                <w:noProof/>
                <w:sz w:val="20"/>
                <w:szCs w:val="20"/>
              </w:rPr>
            </w:pPr>
            <w:r w:rsidRPr="00AF6E2D">
              <w:rPr>
                <w:rFonts w:ascii="Verdana" w:hAnsi="Verdana"/>
                <w:noProof/>
                <w:sz w:val="20"/>
                <w:szCs w:val="20"/>
              </w:rPr>
              <w:t>COMMENTS TO SEAC NOV.2014</w:t>
            </w:r>
          </w:p>
          <w:p w:rsidR="00AF6E2D" w:rsidRPr="00AF6E2D" w:rsidRDefault="00AF6E2D" w:rsidP="001F4FCE">
            <w:pPr>
              <w:rPr>
                <w:rFonts w:ascii="Verdana" w:hAnsi="Verdana"/>
                <w:noProof/>
                <w:sz w:val="20"/>
                <w:szCs w:val="20"/>
              </w:rPr>
            </w:pPr>
            <w:r w:rsidRPr="00AF6E2D">
              <w:rPr>
                <w:rFonts w:ascii="Verdana" w:hAnsi="Verdana"/>
                <w:noProof/>
                <w:sz w:val="20"/>
                <w:szCs w:val="20"/>
              </w:rPr>
              <w:tab/>
            </w:r>
            <w:r w:rsidRPr="00AF6E2D">
              <w:rPr>
                <w:rFonts w:ascii="Verdana" w:hAnsi="Verdana"/>
                <w:noProof/>
                <w:sz w:val="20"/>
                <w:szCs w:val="20"/>
              </w:rPr>
              <w:tab/>
              <w:t xml:space="preserve">Reference: </w:t>
            </w:r>
            <w:r w:rsidRPr="00AF6E2D">
              <w:rPr>
                <w:rFonts w:ascii="Verdana" w:hAnsi="Verdana"/>
                <w:noProof/>
                <w:sz w:val="20"/>
                <w:szCs w:val="20"/>
              </w:rPr>
              <w:tab/>
              <w:t xml:space="preserve">ECHA report </w:t>
            </w:r>
          </w:p>
          <w:p w:rsidR="00AF6E2D" w:rsidRPr="00AF6E2D" w:rsidRDefault="00AF6E2D" w:rsidP="001F4FCE">
            <w:pPr>
              <w:rPr>
                <w:rFonts w:ascii="Verdana" w:hAnsi="Verdana"/>
                <w:noProof/>
                <w:sz w:val="20"/>
                <w:szCs w:val="20"/>
              </w:rPr>
            </w:pP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t xml:space="preserve">Committee for Socio Economic Analysis on NMP </w:t>
            </w:r>
          </w:p>
          <w:p w:rsidR="00AF6E2D" w:rsidRPr="00AF6E2D" w:rsidRDefault="00AF6E2D" w:rsidP="001F4FCE">
            <w:pPr>
              <w:rPr>
                <w:rFonts w:ascii="Verdana" w:hAnsi="Verdana"/>
                <w:noProof/>
                <w:sz w:val="20"/>
                <w:szCs w:val="20"/>
              </w:rPr>
            </w:pP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t>Draft from 10 Sept. 2014.</w:t>
            </w:r>
          </w:p>
          <w:p w:rsidR="00AF6E2D" w:rsidRPr="00AF6E2D" w:rsidRDefault="00AF6E2D" w:rsidP="001F4FCE">
            <w:pPr>
              <w:rPr>
                <w:rFonts w:ascii="Verdana" w:hAnsi="Verdana"/>
                <w:noProof/>
                <w:sz w:val="20"/>
                <w:szCs w:val="20"/>
              </w:rPr>
            </w:pPr>
            <w:r w:rsidRPr="00AF6E2D">
              <w:rPr>
                <w:rFonts w:ascii="Verdana" w:hAnsi="Verdana"/>
                <w:noProof/>
                <w:sz w:val="20"/>
                <w:szCs w:val="20"/>
              </w:rPr>
              <w:tab/>
            </w:r>
            <w:r w:rsidRPr="00AF6E2D">
              <w:rPr>
                <w:rFonts w:ascii="Verdana" w:hAnsi="Verdana"/>
                <w:noProof/>
                <w:sz w:val="20"/>
                <w:szCs w:val="20"/>
              </w:rPr>
              <w:tab/>
            </w:r>
          </w:p>
          <w:p w:rsidR="00AF6E2D" w:rsidRPr="00AF6E2D" w:rsidRDefault="00AF6E2D" w:rsidP="001F4FCE">
            <w:pPr>
              <w:rPr>
                <w:rFonts w:ascii="Verdana" w:hAnsi="Verdana"/>
                <w:noProof/>
                <w:sz w:val="20"/>
                <w:szCs w:val="20"/>
              </w:rPr>
            </w:pPr>
            <w:r w:rsidRPr="00AF6E2D">
              <w:rPr>
                <w:rFonts w:ascii="Verdana" w:hAnsi="Verdana"/>
                <w:noProof/>
                <w:sz w:val="20"/>
                <w:szCs w:val="20"/>
              </w:rPr>
              <w:tab/>
              <w:t xml:space="preserve">Thanks to the discussions between ECHA and EWWG, each member of this organisation is looking in details how to comply with the DNEL level defined in the current Restriction project. Restriction is indeed the only possibility for the Winding Wire industry, since Authorisation would be </w:t>
            </w:r>
            <w:r w:rsidRPr="00AF6E2D">
              <w:rPr>
                <w:rFonts w:ascii="Verdana" w:hAnsi="Verdana"/>
                <w:noProof/>
                <w:sz w:val="20"/>
                <w:szCs w:val="20"/>
              </w:rPr>
              <w:lastRenderedPageBreak/>
              <w:t>irreconcilable with long term investment needs of this industry.</w:t>
            </w:r>
          </w:p>
          <w:p w:rsidR="00AF6E2D" w:rsidRPr="00AF6E2D" w:rsidRDefault="00AF6E2D" w:rsidP="001F4FCE">
            <w:pPr>
              <w:rPr>
                <w:rFonts w:ascii="Verdana" w:hAnsi="Verdana"/>
                <w:noProof/>
                <w:sz w:val="20"/>
                <w:szCs w:val="20"/>
              </w:rPr>
            </w:pPr>
            <w:r w:rsidRPr="00AF6E2D">
              <w:rPr>
                <w:rFonts w:ascii="Verdana" w:hAnsi="Verdana"/>
                <w:noProof/>
                <w:sz w:val="20"/>
                <w:szCs w:val="20"/>
              </w:rPr>
              <w:tab/>
              <w:t>We are mainly referring to the clause of the SEAC report called:” Impacts on the wire coating sector.”</w:t>
            </w:r>
          </w:p>
          <w:p w:rsidR="00AF6E2D" w:rsidRPr="00AF6E2D" w:rsidRDefault="00AF6E2D" w:rsidP="001F4FCE">
            <w:pPr>
              <w:rPr>
                <w:rFonts w:ascii="Verdana" w:hAnsi="Verdana"/>
                <w:noProof/>
                <w:sz w:val="20"/>
                <w:szCs w:val="20"/>
              </w:rPr>
            </w:pPr>
            <w:r w:rsidRPr="00AF6E2D">
              <w:rPr>
                <w:rFonts w:ascii="Verdana" w:hAnsi="Verdana"/>
                <w:noProof/>
                <w:sz w:val="20"/>
                <w:szCs w:val="20"/>
              </w:rPr>
              <w:t>As a preliminary remark, the meaning of the following wording from the SEAC report was not easily understood:</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 A restriction would therefore mean advanced investment of total €276 M. </w:t>
            </w:r>
          </w:p>
          <w:p w:rsidR="00AF6E2D" w:rsidRPr="00AF6E2D" w:rsidRDefault="00AF6E2D" w:rsidP="001F4FCE">
            <w:pPr>
              <w:rPr>
                <w:rFonts w:ascii="Verdana" w:hAnsi="Verdana"/>
                <w:noProof/>
                <w:sz w:val="20"/>
                <w:szCs w:val="20"/>
              </w:rPr>
            </w:pPr>
            <w:r w:rsidRPr="00AF6E2D">
              <w:rPr>
                <w:rFonts w:ascii="Verdana" w:hAnsi="Verdana"/>
                <w:noProof/>
                <w:sz w:val="20"/>
                <w:szCs w:val="20"/>
              </w:rPr>
              <w:t>The advanced costs mean opportunity cost of €61,5M in total for the first 30 years which is the expected lifetime of wire coating lines.“</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The total investment cost of €276 M is logical, but the meaning of opportunity cost is not understood; the total of such opportunity costs is also not related with a previous calculation. </w:t>
            </w:r>
          </w:p>
          <w:p w:rsidR="00AF6E2D" w:rsidRPr="00AF6E2D" w:rsidRDefault="00AF6E2D" w:rsidP="001F4FCE">
            <w:pPr>
              <w:rPr>
                <w:rFonts w:ascii="Verdana" w:hAnsi="Verdana"/>
                <w:noProof/>
                <w:sz w:val="20"/>
                <w:szCs w:val="20"/>
              </w:rPr>
            </w:pPr>
            <w:r w:rsidRPr="00AF6E2D">
              <w:rPr>
                <w:rFonts w:ascii="Verdana" w:hAnsi="Verdana"/>
                <w:noProof/>
                <w:sz w:val="20"/>
                <w:szCs w:val="20"/>
              </w:rPr>
              <w:t>The load of advanced expenditure and the relevant interest rates are also not considered.</w:t>
            </w:r>
          </w:p>
          <w:p w:rsidR="00AF6E2D" w:rsidRPr="00AF6E2D" w:rsidRDefault="00AF6E2D" w:rsidP="001F4FCE">
            <w:pPr>
              <w:rPr>
                <w:rFonts w:ascii="Verdana" w:hAnsi="Verdana"/>
                <w:noProof/>
                <w:sz w:val="20"/>
                <w:szCs w:val="20"/>
              </w:rPr>
            </w:pPr>
            <w:r w:rsidRPr="00AF6E2D">
              <w:rPr>
                <w:rFonts w:ascii="Verdana" w:hAnsi="Verdana"/>
                <w:noProof/>
                <w:sz w:val="20"/>
                <w:szCs w:val="20"/>
              </w:rPr>
              <w:t>Now, the crucial remark of the Winding Wire industry relates to the basis of calculation in the SEAC report, which shall be revised:</w:t>
            </w:r>
          </w:p>
          <w:p w:rsidR="00AF6E2D" w:rsidRPr="00AF6E2D" w:rsidRDefault="00AF6E2D" w:rsidP="001F4FCE">
            <w:pPr>
              <w:rPr>
                <w:rFonts w:ascii="Verdana" w:hAnsi="Verdana"/>
                <w:noProof/>
                <w:sz w:val="20"/>
                <w:szCs w:val="20"/>
              </w:rPr>
            </w:pPr>
            <w:r w:rsidRPr="00AF6E2D">
              <w:rPr>
                <w:rFonts w:ascii="Verdana" w:hAnsi="Verdana"/>
                <w:noProof/>
                <w:sz w:val="20"/>
                <w:szCs w:val="20"/>
              </w:rPr>
              <w:t>1 – TOTAL TURNOVER</w:t>
            </w:r>
          </w:p>
          <w:p w:rsidR="00AF6E2D" w:rsidRPr="00AF6E2D" w:rsidRDefault="00AF6E2D" w:rsidP="001F4FCE">
            <w:pPr>
              <w:rPr>
                <w:rFonts w:ascii="Verdana" w:hAnsi="Verdana"/>
                <w:noProof/>
                <w:sz w:val="20"/>
                <w:szCs w:val="20"/>
              </w:rPr>
            </w:pPr>
            <w:r w:rsidRPr="00AF6E2D">
              <w:rPr>
                <w:rFonts w:ascii="Verdana" w:hAnsi="Verdana"/>
                <w:noProof/>
                <w:sz w:val="20"/>
                <w:szCs w:val="20"/>
              </w:rPr>
              <w:t>The total production value of the wire coating sector is estimated by SEAC to be €3 billion per year. (This estimation was made by AMEC, in RIVM report, Aug 2013).</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As stated in SEAC note 7, this is also including formulators’ turnover, not only the coating industry. </w:t>
            </w:r>
          </w:p>
          <w:p w:rsidR="00AF6E2D" w:rsidRPr="00AF6E2D" w:rsidRDefault="00AF6E2D" w:rsidP="001F4FCE">
            <w:pPr>
              <w:rPr>
                <w:rFonts w:ascii="Verdana" w:hAnsi="Verdana"/>
                <w:noProof/>
                <w:sz w:val="20"/>
                <w:szCs w:val="20"/>
              </w:rPr>
            </w:pPr>
            <w:r w:rsidRPr="00AF6E2D">
              <w:rPr>
                <w:rFonts w:ascii="Verdana" w:hAnsi="Verdana"/>
                <w:noProof/>
                <w:sz w:val="20"/>
                <w:szCs w:val="20"/>
              </w:rPr>
              <w:t>2 – ADDED VALUE OF THE WIRE COATING SECTOR</w:t>
            </w:r>
          </w:p>
          <w:p w:rsidR="00AF6E2D" w:rsidRPr="00AF6E2D" w:rsidRDefault="00AF6E2D" w:rsidP="001F4FCE">
            <w:pPr>
              <w:rPr>
                <w:rFonts w:ascii="Verdana" w:hAnsi="Verdana"/>
                <w:noProof/>
                <w:sz w:val="20"/>
                <w:szCs w:val="20"/>
              </w:rPr>
            </w:pPr>
            <w:r w:rsidRPr="00AF6E2D">
              <w:rPr>
                <w:rFonts w:ascii="Verdana" w:hAnsi="Verdana"/>
                <w:noProof/>
                <w:sz w:val="20"/>
                <w:szCs w:val="20"/>
              </w:rPr>
              <w:t>Special comments sent by EWWG to ECHA / RAC, 20 Feb 2014, were the following:</w:t>
            </w:r>
          </w:p>
          <w:p w:rsidR="00AF6E2D" w:rsidRPr="00AF6E2D" w:rsidRDefault="00AF6E2D" w:rsidP="001F4FCE">
            <w:pPr>
              <w:rPr>
                <w:rFonts w:ascii="Verdana" w:hAnsi="Verdana"/>
                <w:noProof/>
                <w:sz w:val="20"/>
                <w:szCs w:val="20"/>
              </w:rPr>
            </w:pPr>
            <w:r w:rsidRPr="00AF6E2D">
              <w:rPr>
                <w:rFonts w:ascii="Verdana" w:hAnsi="Verdana"/>
                <w:noProof/>
                <w:sz w:val="20"/>
                <w:szCs w:val="20"/>
              </w:rPr>
              <w:t>“First, the copper price has reached record levels on the London Metal Exchange, up to 5 or 7€/kg in the last decade, indicating record prices of WW for customers.</w:t>
            </w:r>
          </w:p>
          <w:p w:rsidR="00AF6E2D" w:rsidRPr="00AF6E2D" w:rsidRDefault="00AF6E2D" w:rsidP="001F4FCE">
            <w:pPr>
              <w:rPr>
                <w:rFonts w:ascii="Verdana" w:hAnsi="Verdana"/>
                <w:noProof/>
                <w:sz w:val="20"/>
                <w:szCs w:val="20"/>
              </w:rPr>
            </w:pPr>
            <w:r w:rsidRPr="00AF6E2D">
              <w:rPr>
                <w:rFonts w:ascii="Verdana" w:hAnsi="Verdana"/>
                <w:noProof/>
                <w:sz w:val="20"/>
                <w:szCs w:val="20"/>
              </w:rPr>
              <w:t>Unfortunately, record turnover does not mean record turnover for the WW industry, since the copper price is the same official price for the WW industry and for the final customer, this is just a transfer.</w:t>
            </w:r>
          </w:p>
          <w:p w:rsidR="00AF6E2D" w:rsidRPr="00AF6E2D" w:rsidRDefault="00AF6E2D" w:rsidP="001F4FCE">
            <w:pPr>
              <w:rPr>
                <w:rFonts w:ascii="Verdana" w:hAnsi="Verdana"/>
                <w:noProof/>
                <w:sz w:val="20"/>
                <w:szCs w:val="20"/>
              </w:rPr>
            </w:pPr>
            <w:r w:rsidRPr="00AF6E2D">
              <w:rPr>
                <w:rFonts w:ascii="Verdana" w:hAnsi="Verdana"/>
                <w:noProof/>
                <w:sz w:val="20"/>
                <w:szCs w:val="20"/>
              </w:rPr>
              <w:t>The profit is coming from the Added Value. As an example only, in this medium range of winding wire, the added value business to business is 10 to 20% of the material itself.”</w:t>
            </w:r>
          </w:p>
          <w:p w:rsidR="00AF6E2D" w:rsidRPr="00AF6E2D" w:rsidRDefault="00AF6E2D" w:rsidP="001F4FCE">
            <w:pPr>
              <w:rPr>
                <w:rFonts w:ascii="Verdana" w:hAnsi="Verdana"/>
                <w:noProof/>
                <w:sz w:val="20"/>
                <w:szCs w:val="20"/>
              </w:rPr>
            </w:pPr>
            <w:r w:rsidRPr="00AF6E2D">
              <w:rPr>
                <w:rFonts w:ascii="Verdana" w:hAnsi="Verdana"/>
                <w:noProof/>
                <w:sz w:val="20"/>
                <w:szCs w:val="20"/>
              </w:rPr>
              <w:t>3 – REVISED CALCULATION</w:t>
            </w:r>
          </w:p>
          <w:p w:rsidR="00AF6E2D" w:rsidRPr="00AF6E2D" w:rsidRDefault="00AF6E2D" w:rsidP="001F4FCE">
            <w:pPr>
              <w:rPr>
                <w:rFonts w:ascii="Verdana" w:hAnsi="Verdana"/>
                <w:noProof/>
                <w:sz w:val="20"/>
                <w:szCs w:val="20"/>
              </w:rPr>
            </w:pPr>
            <w:r w:rsidRPr="00AF6E2D">
              <w:rPr>
                <w:rFonts w:ascii="Verdana" w:hAnsi="Verdana"/>
                <w:noProof/>
                <w:sz w:val="20"/>
                <w:szCs w:val="20"/>
              </w:rPr>
              <w:t>Therefore, the base of calculation shall not be the total turnover of winding wires, since the copper value is by far the highest part of turnover. Copper is purchased worldwide through the London Metal Exchange, and invoiced to the Winding Wires customers, on LME basis. This is a pure transfer operation.</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The base of calculation shall be the Added Value of the Winding Wires industry. </w:t>
            </w:r>
          </w:p>
          <w:p w:rsidR="00AF6E2D" w:rsidRPr="00AF6E2D" w:rsidRDefault="00AF6E2D" w:rsidP="001F4FCE">
            <w:pPr>
              <w:rPr>
                <w:rFonts w:ascii="Verdana" w:hAnsi="Verdana"/>
                <w:noProof/>
                <w:sz w:val="20"/>
                <w:szCs w:val="20"/>
              </w:rPr>
            </w:pPr>
            <w:r w:rsidRPr="00AF6E2D">
              <w:rPr>
                <w:rFonts w:ascii="Verdana" w:hAnsi="Verdana"/>
                <w:noProof/>
                <w:sz w:val="20"/>
                <w:szCs w:val="20"/>
              </w:rPr>
              <w:t>Based on 400 000 tons of copper usage (Information from the same document), the copper part is at least estimated 400 000 x 6€ = € 2billions and 400millions.</w:t>
            </w:r>
          </w:p>
          <w:p w:rsidR="00AF6E2D" w:rsidRPr="00AF6E2D" w:rsidRDefault="00AF6E2D" w:rsidP="001F4FCE">
            <w:pPr>
              <w:rPr>
                <w:rFonts w:ascii="Verdana" w:hAnsi="Verdana"/>
                <w:noProof/>
                <w:sz w:val="20"/>
                <w:szCs w:val="20"/>
              </w:rPr>
            </w:pPr>
            <w:r w:rsidRPr="00AF6E2D">
              <w:rPr>
                <w:rFonts w:ascii="Verdana" w:hAnsi="Verdana"/>
                <w:noProof/>
                <w:sz w:val="20"/>
                <w:szCs w:val="20"/>
              </w:rPr>
              <w:t>In the remaining € 600 million, the formulators’ turnover is also included inside the so-called “Wire coating sector”</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 The revenue of the Winding Wire industry in Europe, excluding copper, can be estimated now to be less than € 500 million.</w:t>
            </w:r>
          </w:p>
          <w:p w:rsidR="00AF6E2D" w:rsidRPr="00AF6E2D" w:rsidRDefault="00AF6E2D" w:rsidP="001F4FCE">
            <w:pPr>
              <w:rPr>
                <w:rFonts w:ascii="Verdana" w:hAnsi="Verdana"/>
                <w:noProof/>
                <w:sz w:val="20"/>
                <w:szCs w:val="20"/>
              </w:rPr>
            </w:pPr>
            <w:r w:rsidRPr="00AF6E2D">
              <w:rPr>
                <w:rFonts w:ascii="Verdana" w:hAnsi="Verdana"/>
                <w:noProof/>
                <w:sz w:val="20"/>
                <w:szCs w:val="20"/>
              </w:rPr>
              <w:lastRenderedPageBreak/>
              <w:t xml:space="preserve">This revised basis has been put into ECHA´s calculation of “Opportunity costs” as follows: </w:t>
            </w:r>
          </w:p>
          <w:p w:rsidR="00AF6E2D" w:rsidRPr="00AF6E2D" w:rsidRDefault="00AF6E2D" w:rsidP="001F4FCE">
            <w:pPr>
              <w:rPr>
                <w:rFonts w:ascii="Verdana" w:hAnsi="Verdana"/>
                <w:noProof/>
                <w:sz w:val="20"/>
                <w:szCs w:val="20"/>
              </w:rPr>
            </w:pP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p>
          <w:p w:rsidR="00AF6E2D" w:rsidRPr="00AF6E2D" w:rsidRDefault="00AF6E2D" w:rsidP="001F4FCE">
            <w:pPr>
              <w:rPr>
                <w:rFonts w:ascii="Verdana" w:hAnsi="Verdana"/>
                <w:noProof/>
                <w:sz w:val="20"/>
                <w:szCs w:val="20"/>
              </w:rPr>
            </w:pP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p>
          <w:p w:rsidR="00AF6E2D" w:rsidRPr="00AF6E2D" w:rsidRDefault="00AF6E2D" w:rsidP="001F4FCE">
            <w:pPr>
              <w:rPr>
                <w:rFonts w:ascii="Verdana" w:hAnsi="Verdana"/>
                <w:noProof/>
                <w:sz w:val="20"/>
                <w:szCs w:val="20"/>
              </w:rPr>
            </w:pPr>
            <w:r w:rsidRPr="00AF6E2D">
              <w:rPr>
                <w:rFonts w:ascii="Verdana" w:hAnsi="Verdana"/>
                <w:noProof/>
                <w:sz w:val="20"/>
                <w:szCs w:val="20"/>
              </w:rPr>
              <w:t>ECHA CORRECTED</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2020</w:t>
            </w:r>
            <w:r w:rsidRPr="00AF6E2D">
              <w:rPr>
                <w:rFonts w:ascii="Verdana" w:hAnsi="Verdana"/>
                <w:noProof/>
                <w:sz w:val="20"/>
                <w:szCs w:val="20"/>
              </w:rPr>
              <w:tab/>
              <w:t>2021</w:t>
            </w:r>
            <w:r w:rsidRPr="00AF6E2D">
              <w:rPr>
                <w:rFonts w:ascii="Verdana" w:hAnsi="Verdana"/>
                <w:noProof/>
                <w:sz w:val="20"/>
                <w:szCs w:val="20"/>
              </w:rPr>
              <w:tab/>
              <w:t>2022</w:t>
            </w:r>
            <w:r w:rsidRPr="00AF6E2D">
              <w:rPr>
                <w:rFonts w:ascii="Verdana" w:hAnsi="Verdana"/>
                <w:noProof/>
                <w:sz w:val="20"/>
                <w:szCs w:val="20"/>
              </w:rPr>
              <w:tab/>
              <w:t>2023</w:t>
            </w:r>
            <w:r w:rsidRPr="00AF6E2D">
              <w:rPr>
                <w:rFonts w:ascii="Verdana" w:hAnsi="Verdana"/>
                <w:noProof/>
                <w:sz w:val="20"/>
                <w:szCs w:val="20"/>
              </w:rPr>
              <w:tab/>
              <w:t>2024</w:t>
            </w:r>
            <w:r w:rsidRPr="00AF6E2D">
              <w:rPr>
                <w:rFonts w:ascii="Verdana" w:hAnsi="Verdana"/>
                <w:noProof/>
                <w:sz w:val="20"/>
                <w:szCs w:val="20"/>
              </w:rPr>
              <w:tab/>
              <w:t>2025</w:t>
            </w:r>
            <w:r w:rsidRPr="00AF6E2D">
              <w:rPr>
                <w:rFonts w:ascii="Verdana" w:hAnsi="Verdana"/>
                <w:noProof/>
                <w:sz w:val="20"/>
                <w:szCs w:val="20"/>
              </w:rPr>
              <w:tab/>
              <w:t>2026    2027    2028      Total</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Production value  </w:t>
            </w:r>
            <w:r w:rsidRPr="00AF6E2D">
              <w:rPr>
                <w:rFonts w:ascii="Verdana" w:hAnsi="Verdana"/>
                <w:noProof/>
                <w:sz w:val="20"/>
                <w:szCs w:val="20"/>
              </w:rPr>
              <w:tab/>
              <w:t>500</w:t>
            </w:r>
            <w:r w:rsidRPr="00AF6E2D">
              <w:rPr>
                <w:rFonts w:ascii="Verdana" w:hAnsi="Verdana"/>
                <w:noProof/>
                <w:sz w:val="20"/>
                <w:szCs w:val="20"/>
              </w:rPr>
              <w:tab/>
              <w:t>500</w:t>
            </w:r>
            <w:r w:rsidRPr="00AF6E2D">
              <w:rPr>
                <w:rFonts w:ascii="Verdana" w:hAnsi="Verdana"/>
                <w:noProof/>
                <w:sz w:val="20"/>
                <w:szCs w:val="20"/>
              </w:rPr>
              <w:tab/>
              <w:t>500</w:t>
            </w:r>
            <w:r w:rsidRPr="00AF6E2D">
              <w:rPr>
                <w:rFonts w:ascii="Verdana" w:hAnsi="Verdana"/>
                <w:noProof/>
                <w:sz w:val="20"/>
                <w:szCs w:val="20"/>
              </w:rPr>
              <w:tab/>
              <w:t>500</w:t>
            </w:r>
            <w:r w:rsidRPr="00AF6E2D">
              <w:rPr>
                <w:rFonts w:ascii="Verdana" w:hAnsi="Verdana"/>
                <w:noProof/>
                <w:sz w:val="20"/>
                <w:szCs w:val="20"/>
              </w:rPr>
              <w:tab/>
              <w:t>500</w:t>
            </w:r>
            <w:r w:rsidRPr="00AF6E2D">
              <w:rPr>
                <w:rFonts w:ascii="Verdana" w:hAnsi="Verdana"/>
                <w:noProof/>
                <w:sz w:val="20"/>
                <w:szCs w:val="20"/>
              </w:rPr>
              <w:tab/>
              <w:t>500</w:t>
            </w:r>
            <w:r w:rsidRPr="00AF6E2D">
              <w:rPr>
                <w:rFonts w:ascii="Verdana" w:hAnsi="Verdana"/>
                <w:noProof/>
                <w:sz w:val="20"/>
                <w:szCs w:val="20"/>
              </w:rPr>
              <w:tab/>
              <w:t>500</w:t>
            </w:r>
            <w:r w:rsidRPr="00AF6E2D">
              <w:rPr>
                <w:rFonts w:ascii="Verdana" w:hAnsi="Verdana"/>
                <w:noProof/>
                <w:sz w:val="20"/>
                <w:szCs w:val="20"/>
              </w:rPr>
              <w:tab/>
              <w:t>500</w:t>
            </w:r>
            <w:r w:rsidRPr="00AF6E2D">
              <w:rPr>
                <w:rFonts w:ascii="Verdana" w:hAnsi="Verdana"/>
                <w:noProof/>
                <w:sz w:val="20"/>
                <w:szCs w:val="20"/>
              </w:rPr>
              <w:tab/>
              <w:t>500</w:t>
            </w:r>
            <w:r w:rsidRPr="00AF6E2D">
              <w:rPr>
                <w:rFonts w:ascii="Verdana" w:hAnsi="Verdana"/>
                <w:noProof/>
                <w:sz w:val="20"/>
                <w:szCs w:val="20"/>
              </w:rPr>
              <w:tab/>
              <w:t xml:space="preserve"> </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p>
          <w:p w:rsidR="00AF6E2D" w:rsidRPr="00AF6E2D" w:rsidRDefault="00AF6E2D" w:rsidP="001F4FCE">
            <w:pPr>
              <w:rPr>
                <w:rFonts w:ascii="Verdana" w:hAnsi="Verdana"/>
                <w:noProof/>
                <w:sz w:val="20"/>
                <w:szCs w:val="20"/>
              </w:rPr>
            </w:pPr>
            <w:r w:rsidRPr="00AF6E2D">
              <w:rPr>
                <w:rFonts w:ascii="Verdana" w:hAnsi="Verdana"/>
                <w:noProof/>
                <w:sz w:val="20"/>
                <w:szCs w:val="20"/>
              </w:rPr>
              <w:t>Opportunity cost</w:t>
            </w:r>
            <w:r w:rsidRPr="00AF6E2D">
              <w:rPr>
                <w:rFonts w:ascii="Verdana" w:hAnsi="Verdana"/>
                <w:noProof/>
                <w:sz w:val="20"/>
                <w:szCs w:val="20"/>
              </w:rPr>
              <w:tab/>
              <w:t xml:space="preserve">  61,5</w:t>
            </w:r>
            <w:r w:rsidRPr="00AF6E2D">
              <w:rPr>
                <w:rFonts w:ascii="Verdana" w:hAnsi="Verdana"/>
                <w:noProof/>
                <w:sz w:val="20"/>
                <w:szCs w:val="20"/>
              </w:rPr>
              <w:tab/>
              <w:t>48,5</w:t>
            </w:r>
            <w:r w:rsidRPr="00AF6E2D">
              <w:rPr>
                <w:rFonts w:ascii="Verdana" w:hAnsi="Verdana"/>
                <w:noProof/>
                <w:sz w:val="20"/>
                <w:szCs w:val="20"/>
              </w:rPr>
              <w:tab/>
              <w:t>37,5</w:t>
            </w:r>
            <w:r w:rsidRPr="00AF6E2D">
              <w:rPr>
                <w:rFonts w:ascii="Verdana" w:hAnsi="Verdana"/>
                <w:noProof/>
                <w:sz w:val="20"/>
                <w:szCs w:val="20"/>
              </w:rPr>
              <w:tab/>
              <w:t>27,5</w:t>
            </w:r>
            <w:r w:rsidRPr="00AF6E2D">
              <w:rPr>
                <w:rFonts w:ascii="Verdana" w:hAnsi="Verdana"/>
                <w:noProof/>
                <w:sz w:val="20"/>
                <w:szCs w:val="20"/>
              </w:rPr>
              <w:tab/>
              <w:t>19,4</w:t>
            </w:r>
            <w:r w:rsidRPr="00AF6E2D">
              <w:rPr>
                <w:rFonts w:ascii="Verdana" w:hAnsi="Verdana"/>
                <w:noProof/>
                <w:sz w:val="20"/>
                <w:szCs w:val="20"/>
              </w:rPr>
              <w:tab/>
              <w:t>12,8</w:t>
            </w:r>
            <w:r w:rsidRPr="00AF6E2D">
              <w:rPr>
                <w:rFonts w:ascii="Verdana" w:hAnsi="Verdana"/>
                <w:noProof/>
                <w:sz w:val="20"/>
                <w:szCs w:val="20"/>
              </w:rPr>
              <w:tab/>
              <w:t>7,6</w:t>
            </w:r>
            <w:r w:rsidRPr="00AF6E2D">
              <w:rPr>
                <w:rFonts w:ascii="Verdana" w:hAnsi="Verdana"/>
                <w:noProof/>
                <w:sz w:val="20"/>
                <w:szCs w:val="20"/>
              </w:rPr>
              <w:tab/>
              <w:t>3,7</w:t>
            </w:r>
            <w:r w:rsidRPr="00AF6E2D">
              <w:rPr>
                <w:rFonts w:ascii="Verdana" w:hAnsi="Verdana"/>
                <w:noProof/>
                <w:sz w:val="20"/>
                <w:szCs w:val="20"/>
              </w:rPr>
              <w:tab/>
              <w:t>1,2</w:t>
            </w:r>
            <w:r w:rsidRPr="00AF6E2D">
              <w:rPr>
                <w:rFonts w:ascii="Verdana" w:hAnsi="Verdana"/>
                <w:noProof/>
                <w:sz w:val="20"/>
                <w:szCs w:val="20"/>
              </w:rPr>
              <w:tab/>
              <w:t>219,7</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Interest </w:t>
            </w:r>
            <w:r w:rsidRPr="00AF6E2D">
              <w:rPr>
                <w:rFonts w:ascii="Verdana" w:hAnsi="Verdana"/>
                <w:noProof/>
                <w:sz w:val="20"/>
                <w:szCs w:val="20"/>
              </w:rPr>
              <w:tab/>
            </w:r>
            <w:r w:rsidRPr="00AF6E2D">
              <w:rPr>
                <w:rFonts w:ascii="Verdana" w:hAnsi="Verdana"/>
                <w:noProof/>
                <w:sz w:val="20"/>
                <w:szCs w:val="20"/>
              </w:rPr>
              <w:tab/>
              <w:t>0,0</w:t>
            </w:r>
            <w:r w:rsidRPr="00AF6E2D">
              <w:rPr>
                <w:rFonts w:ascii="Verdana" w:hAnsi="Verdana"/>
                <w:noProof/>
                <w:sz w:val="20"/>
                <w:szCs w:val="20"/>
              </w:rPr>
              <w:tab/>
              <w:t>0,0</w:t>
            </w:r>
            <w:r w:rsidRPr="00AF6E2D">
              <w:rPr>
                <w:rFonts w:ascii="Verdana" w:hAnsi="Verdana"/>
                <w:noProof/>
                <w:sz w:val="20"/>
                <w:szCs w:val="20"/>
              </w:rPr>
              <w:tab/>
              <w:t>0,0</w:t>
            </w:r>
            <w:r w:rsidRPr="00AF6E2D">
              <w:rPr>
                <w:rFonts w:ascii="Verdana" w:hAnsi="Verdana"/>
                <w:noProof/>
                <w:sz w:val="20"/>
                <w:szCs w:val="20"/>
              </w:rPr>
              <w:tab/>
              <w:t>0,0</w:t>
            </w:r>
            <w:r w:rsidRPr="00AF6E2D">
              <w:rPr>
                <w:rFonts w:ascii="Verdana" w:hAnsi="Verdana"/>
                <w:noProof/>
                <w:sz w:val="20"/>
                <w:szCs w:val="20"/>
              </w:rPr>
              <w:tab/>
              <w:t>0,0</w:t>
            </w:r>
            <w:r w:rsidRPr="00AF6E2D">
              <w:rPr>
                <w:rFonts w:ascii="Verdana" w:hAnsi="Verdana"/>
                <w:noProof/>
                <w:sz w:val="20"/>
                <w:szCs w:val="20"/>
              </w:rPr>
              <w:tab/>
              <w:t>0,0</w:t>
            </w:r>
            <w:r w:rsidRPr="00AF6E2D">
              <w:rPr>
                <w:rFonts w:ascii="Verdana" w:hAnsi="Verdana"/>
                <w:noProof/>
                <w:sz w:val="20"/>
                <w:szCs w:val="20"/>
              </w:rPr>
              <w:tab/>
              <w:t>0,0</w:t>
            </w:r>
            <w:r w:rsidRPr="00AF6E2D">
              <w:rPr>
                <w:rFonts w:ascii="Verdana" w:hAnsi="Verdana"/>
                <w:noProof/>
                <w:sz w:val="20"/>
                <w:szCs w:val="20"/>
              </w:rPr>
              <w:tab/>
              <w:t>0,0</w:t>
            </w:r>
            <w:r w:rsidRPr="00AF6E2D">
              <w:rPr>
                <w:rFonts w:ascii="Verdana" w:hAnsi="Verdana"/>
                <w:noProof/>
                <w:sz w:val="20"/>
                <w:szCs w:val="20"/>
              </w:rPr>
              <w:tab/>
              <w:t>0,0</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Total opport. costs </w:t>
            </w:r>
            <w:r w:rsidRPr="00AF6E2D">
              <w:rPr>
                <w:rFonts w:ascii="Verdana" w:hAnsi="Verdana"/>
                <w:noProof/>
                <w:sz w:val="20"/>
                <w:szCs w:val="20"/>
              </w:rPr>
              <w:tab/>
              <w:t>61,5</w:t>
            </w:r>
            <w:r w:rsidRPr="00AF6E2D">
              <w:rPr>
                <w:rFonts w:ascii="Verdana" w:hAnsi="Verdana"/>
                <w:noProof/>
                <w:sz w:val="20"/>
                <w:szCs w:val="20"/>
              </w:rPr>
              <w:tab/>
              <w:t>48,5</w:t>
            </w:r>
            <w:r w:rsidRPr="00AF6E2D">
              <w:rPr>
                <w:rFonts w:ascii="Verdana" w:hAnsi="Verdana"/>
                <w:noProof/>
                <w:sz w:val="20"/>
                <w:szCs w:val="20"/>
              </w:rPr>
              <w:tab/>
              <w:t>37,5</w:t>
            </w:r>
            <w:r w:rsidRPr="00AF6E2D">
              <w:rPr>
                <w:rFonts w:ascii="Verdana" w:hAnsi="Verdana"/>
                <w:noProof/>
                <w:sz w:val="20"/>
                <w:szCs w:val="20"/>
              </w:rPr>
              <w:tab/>
              <w:t>27,5</w:t>
            </w:r>
            <w:r w:rsidRPr="00AF6E2D">
              <w:rPr>
                <w:rFonts w:ascii="Verdana" w:hAnsi="Verdana"/>
                <w:noProof/>
                <w:sz w:val="20"/>
                <w:szCs w:val="20"/>
              </w:rPr>
              <w:tab/>
              <w:t>19,4</w:t>
            </w:r>
            <w:r w:rsidRPr="00AF6E2D">
              <w:rPr>
                <w:rFonts w:ascii="Verdana" w:hAnsi="Verdana"/>
                <w:noProof/>
                <w:sz w:val="20"/>
                <w:szCs w:val="20"/>
              </w:rPr>
              <w:tab/>
              <w:t>12,8</w:t>
            </w:r>
            <w:r w:rsidRPr="00AF6E2D">
              <w:rPr>
                <w:rFonts w:ascii="Verdana" w:hAnsi="Verdana"/>
                <w:noProof/>
                <w:sz w:val="20"/>
                <w:szCs w:val="20"/>
              </w:rPr>
              <w:tab/>
              <w:t>7,6</w:t>
            </w:r>
            <w:r w:rsidRPr="00AF6E2D">
              <w:rPr>
                <w:rFonts w:ascii="Verdana" w:hAnsi="Verdana"/>
                <w:noProof/>
                <w:sz w:val="20"/>
                <w:szCs w:val="20"/>
              </w:rPr>
              <w:tab/>
              <w:t>3,7</w:t>
            </w:r>
            <w:r w:rsidRPr="00AF6E2D">
              <w:rPr>
                <w:rFonts w:ascii="Verdana" w:hAnsi="Verdana"/>
                <w:noProof/>
                <w:sz w:val="20"/>
                <w:szCs w:val="20"/>
              </w:rPr>
              <w:tab/>
              <w:t>1,2</w:t>
            </w:r>
            <w:r w:rsidRPr="00AF6E2D">
              <w:rPr>
                <w:rFonts w:ascii="Verdana" w:hAnsi="Verdana"/>
                <w:noProof/>
                <w:sz w:val="20"/>
                <w:szCs w:val="20"/>
              </w:rPr>
              <w:tab/>
              <w:t>219,7</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12,3% </w:t>
            </w:r>
            <w:r w:rsidRPr="00AF6E2D">
              <w:rPr>
                <w:rFonts w:ascii="Verdana" w:hAnsi="Verdana"/>
                <w:noProof/>
                <w:sz w:val="20"/>
                <w:szCs w:val="20"/>
              </w:rPr>
              <w:tab/>
              <w:t>9,7%</w:t>
            </w:r>
            <w:r w:rsidRPr="00AF6E2D">
              <w:rPr>
                <w:rFonts w:ascii="Verdana" w:hAnsi="Verdana"/>
                <w:noProof/>
                <w:sz w:val="20"/>
                <w:szCs w:val="20"/>
              </w:rPr>
              <w:tab/>
              <w:t>7,5%</w:t>
            </w:r>
            <w:r w:rsidRPr="00AF6E2D">
              <w:rPr>
                <w:rFonts w:ascii="Verdana" w:hAnsi="Verdana"/>
                <w:noProof/>
                <w:sz w:val="20"/>
                <w:szCs w:val="20"/>
              </w:rPr>
              <w:tab/>
              <w:t>5,5%</w:t>
            </w:r>
            <w:r w:rsidRPr="00AF6E2D">
              <w:rPr>
                <w:rFonts w:ascii="Verdana" w:hAnsi="Verdana"/>
                <w:noProof/>
                <w:sz w:val="20"/>
                <w:szCs w:val="20"/>
              </w:rPr>
              <w:tab/>
              <w:t>3,9%</w:t>
            </w:r>
            <w:r w:rsidRPr="00AF6E2D">
              <w:rPr>
                <w:rFonts w:ascii="Verdana" w:hAnsi="Verdana"/>
                <w:noProof/>
                <w:sz w:val="20"/>
                <w:szCs w:val="20"/>
              </w:rPr>
              <w:tab/>
              <w:t>2,6%</w:t>
            </w:r>
            <w:r w:rsidRPr="00AF6E2D">
              <w:rPr>
                <w:rFonts w:ascii="Verdana" w:hAnsi="Verdana"/>
                <w:noProof/>
                <w:sz w:val="20"/>
                <w:szCs w:val="20"/>
              </w:rPr>
              <w:tab/>
              <w:t>1,5%</w:t>
            </w:r>
            <w:r w:rsidRPr="00AF6E2D">
              <w:rPr>
                <w:rFonts w:ascii="Verdana" w:hAnsi="Verdana"/>
                <w:noProof/>
                <w:sz w:val="20"/>
                <w:szCs w:val="20"/>
              </w:rPr>
              <w:tab/>
              <w:t>0,7%</w:t>
            </w:r>
            <w:r w:rsidRPr="00AF6E2D">
              <w:rPr>
                <w:rFonts w:ascii="Verdana" w:hAnsi="Verdana"/>
                <w:noProof/>
                <w:sz w:val="20"/>
                <w:szCs w:val="20"/>
              </w:rPr>
              <w:tab/>
              <w:t>0,2%</w:t>
            </w:r>
          </w:p>
          <w:p w:rsidR="00AF6E2D" w:rsidRPr="00AF6E2D" w:rsidRDefault="00AF6E2D" w:rsidP="001F4FCE">
            <w:pPr>
              <w:rPr>
                <w:rFonts w:ascii="Verdana" w:hAnsi="Verdana"/>
                <w:noProof/>
                <w:sz w:val="20"/>
                <w:szCs w:val="20"/>
              </w:rPr>
            </w:pP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p>
          <w:p w:rsidR="00AF6E2D" w:rsidRPr="00AF6E2D" w:rsidRDefault="00AF6E2D" w:rsidP="001F4FCE">
            <w:pPr>
              <w:rPr>
                <w:rFonts w:ascii="Verdana" w:hAnsi="Verdana"/>
                <w:noProof/>
                <w:sz w:val="20"/>
                <w:szCs w:val="20"/>
              </w:rPr>
            </w:pP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r>
          </w:p>
          <w:p w:rsidR="00AF6E2D" w:rsidRPr="00AF6E2D" w:rsidRDefault="00AF6E2D" w:rsidP="001F4FCE">
            <w:pPr>
              <w:rPr>
                <w:rFonts w:ascii="Verdana" w:hAnsi="Verdana"/>
                <w:noProof/>
                <w:sz w:val="20"/>
                <w:szCs w:val="20"/>
              </w:rPr>
            </w:pPr>
            <w:r w:rsidRPr="00AF6E2D">
              <w:rPr>
                <w:rFonts w:ascii="Verdana" w:hAnsi="Verdana"/>
                <w:noProof/>
                <w:sz w:val="20"/>
                <w:szCs w:val="20"/>
              </w:rPr>
              <w:t>LIQUIDITY OUTFLOW</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 </w:t>
            </w:r>
            <w:r w:rsidRPr="00AF6E2D">
              <w:rPr>
                <w:rFonts w:ascii="Verdana" w:hAnsi="Verdana"/>
                <w:noProof/>
                <w:sz w:val="20"/>
                <w:szCs w:val="20"/>
              </w:rPr>
              <w:tab/>
            </w:r>
            <w:r w:rsidRPr="00AF6E2D">
              <w:rPr>
                <w:rFonts w:ascii="Verdana" w:hAnsi="Verdana"/>
                <w:noProof/>
                <w:sz w:val="20"/>
                <w:szCs w:val="20"/>
              </w:rPr>
              <w:tab/>
            </w:r>
            <w:r w:rsidRPr="00AF6E2D">
              <w:rPr>
                <w:rFonts w:ascii="Verdana" w:hAnsi="Verdana"/>
                <w:noProof/>
                <w:sz w:val="20"/>
                <w:szCs w:val="20"/>
              </w:rPr>
              <w:tab/>
              <w:t xml:space="preserve"> 2020</w:t>
            </w:r>
            <w:r w:rsidRPr="00AF6E2D">
              <w:rPr>
                <w:rFonts w:ascii="Verdana" w:hAnsi="Verdana"/>
                <w:noProof/>
                <w:sz w:val="20"/>
                <w:szCs w:val="20"/>
              </w:rPr>
              <w:tab/>
              <w:t>2021</w:t>
            </w:r>
            <w:r w:rsidRPr="00AF6E2D">
              <w:rPr>
                <w:rFonts w:ascii="Verdana" w:hAnsi="Verdana"/>
                <w:noProof/>
                <w:sz w:val="20"/>
                <w:szCs w:val="20"/>
              </w:rPr>
              <w:tab/>
              <w:t>2022</w:t>
            </w:r>
            <w:r w:rsidRPr="00AF6E2D">
              <w:rPr>
                <w:rFonts w:ascii="Verdana" w:hAnsi="Verdana"/>
                <w:noProof/>
                <w:sz w:val="20"/>
                <w:szCs w:val="20"/>
              </w:rPr>
              <w:tab/>
              <w:t>2023</w:t>
            </w:r>
            <w:r w:rsidRPr="00AF6E2D">
              <w:rPr>
                <w:rFonts w:ascii="Verdana" w:hAnsi="Verdana"/>
                <w:noProof/>
                <w:sz w:val="20"/>
                <w:szCs w:val="20"/>
              </w:rPr>
              <w:tab/>
              <w:t>2024</w:t>
            </w:r>
            <w:r w:rsidRPr="00AF6E2D">
              <w:rPr>
                <w:rFonts w:ascii="Verdana" w:hAnsi="Verdana"/>
                <w:noProof/>
                <w:sz w:val="20"/>
                <w:szCs w:val="20"/>
              </w:rPr>
              <w:tab/>
              <w:t>2025</w:t>
            </w:r>
            <w:r w:rsidRPr="00AF6E2D">
              <w:rPr>
                <w:rFonts w:ascii="Verdana" w:hAnsi="Verdana"/>
                <w:noProof/>
                <w:sz w:val="20"/>
                <w:szCs w:val="20"/>
              </w:rPr>
              <w:tab/>
              <w:t>2026</w:t>
            </w:r>
            <w:r w:rsidRPr="00AF6E2D">
              <w:rPr>
                <w:rFonts w:ascii="Verdana" w:hAnsi="Verdana"/>
                <w:noProof/>
                <w:sz w:val="20"/>
                <w:szCs w:val="20"/>
              </w:rPr>
              <w:tab/>
              <w:t>2027</w:t>
            </w:r>
            <w:r w:rsidRPr="00AF6E2D">
              <w:rPr>
                <w:rFonts w:ascii="Verdana" w:hAnsi="Verdana"/>
                <w:noProof/>
                <w:sz w:val="20"/>
                <w:szCs w:val="20"/>
              </w:rPr>
              <w:tab/>
              <w:t>2028</w:t>
            </w:r>
            <w:r w:rsidRPr="00AF6E2D">
              <w:rPr>
                <w:rFonts w:ascii="Verdana" w:hAnsi="Verdana"/>
                <w:noProof/>
                <w:sz w:val="20"/>
                <w:szCs w:val="20"/>
              </w:rPr>
              <w:tab/>
              <w:t>Total</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Production value </w:t>
            </w:r>
            <w:r w:rsidRPr="00AF6E2D">
              <w:rPr>
                <w:rFonts w:ascii="Verdana" w:hAnsi="Verdana"/>
                <w:noProof/>
                <w:sz w:val="20"/>
                <w:szCs w:val="20"/>
              </w:rPr>
              <w:tab/>
              <w:t xml:space="preserve"> 500</w:t>
            </w:r>
            <w:r w:rsidRPr="00AF6E2D">
              <w:rPr>
                <w:rFonts w:ascii="Verdana" w:hAnsi="Verdana"/>
                <w:noProof/>
                <w:sz w:val="20"/>
                <w:szCs w:val="20"/>
              </w:rPr>
              <w:tab/>
              <w:t>500</w:t>
            </w:r>
            <w:r w:rsidRPr="00AF6E2D">
              <w:rPr>
                <w:rFonts w:ascii="Verdana" w:hAnsi="Verdana"/>
                <w:noProof/>
                <w:sz w:val="20"/>
                <w:szCs w:val="20"/>
              </w:rPr>
              <w:tab/>
              <w:t>500</w:t>
            </w:r>
            <w:r w:rsidRPr="00AF6E2D">
              <w:rPr>
                <w:rFonts w:ascii="Verdana" w:hAnsi="Verdana"/>
                <w:noProof/>
                <w:sz w:val="20"/>
                <w:szCs w:val="20"/>
              </w:rPr>
              <w:tab/>
              <w:t>500</w:t>
            </w:r>
            <w:r w:rsidRPr="00AF6E2D">
              <w:rPr>
                <w:rFonts w:ascii="Verdana" w:hAnsi="Verdana"/>
                <w:noProof/>
                <w:sz w:val="20"/>
                <w:szCs w:val="20"/>
              </w:rPr>
              <w:tab/>
              <w:t>500</w:t>
            </w:r>
            <w:r w:rsidRPr="00AF6E2D">
              <w:rPr>
                <w:rFonts w:ascii="Verdana" w:hAnsi="Verdana"/>
                <w:noProof/>
                <w:sz w:val="20"/>
                <w:szCs w:val="20"/>
              </w:rPr>
              <w:tab/>
              <w:t>500</w:t>
            </w:r>
            <w:r w:rsidRPr="00AF6E2D">
              <w:rPr>
                <w:rFonts w:ascii="Verdana" w:hAnsi="Verdana"/>
                <w:noProof/>
                <w:sz w:val="20"/>
                <w:szCs w:val="20"/>
              </w:rPr>
              <w:tab/>
              <w:t>500</w:t>
            </w:r>
            <w:r w:rsidRPr="00AF6E2D">
              <w:rPr>
                <w:rFonts w:ascii="Verdana" w:hAnsi="Verdana"/>
                <w:noProof/>
                <w:sz w:val="20"/>
                <w:szCs w:val="20"/>
              </w:rPr>
              <w:tab/>
              <w:t>500</w:t>
            </w:r>
            <w:r w:rsidRPr="00AF6E2D">
              <w:rPr>
                <w:rFonts w:ascii="Verdana" w:hAnsi="Verdana"/>
                <w:noProof/>
                <w:sz w:val="20"/>
                <w:szCs w:val="20"/>
              </w:rPr>
              <w:tab/>
              <w:t>500</w:t>
            </w:r>
            <w:r w:rsidRPr="00AF6E2D">
              <w:rPr>
                <w:rFonts w:ascii="Verdana" w:hAnsi="Verdana"/>
                <w:noProof/>
                <w:sz w:val="20"/>
                <w:szCs w:val="20"/>
              </w:rPr>
              <w:tab/>
              <w:t xml:space="preserve"> </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p>
          <w:p w:rsidR="00AF6E2D" w:rsidRPr="00AF6E2D" w:rsidRDefault="00AF6E2D" w:rsidP="001F4FCE">
            <w:pPr>
              <w:rPr>
                <w:rFonts w:ascii="Verdana" w:hAnsi="Verdana"/>
                <w:noProof/>
                <w:sz w:val="20"/>
                <w:szCs w:val="20"/>
              </w:rPr>
            </w:pPr>
            <w:r w:rsidRPr="00AF6E2D">
              <w:rPr>
                <w:rFonts w:ascii="Verdana" w:hAnsi="Verdana"/>
                <w:noProof/>
                <w:sz w:val="20"/>
                <w:szCs w:val="20"/>
              </w:rPr>
              <w:t>Investments</w:t>
            </w:r>
            <w:r w:rsidRPr="00AF6E2D">
              <w:rPr>
                <w:rFonts w:ascii="Verdana" w:hAnsi="Verdana"/>
                <w:noProof/>
                <w:sz w:val="20"/>
                <w:szCs w:val="20"/>
              </w:rPr>
              <w:tab/>
              <w:t xml:space="preserve">        276,0</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276,0</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w:t>
            </w:r>
          </w:p>
          <w:p w:rsidR="00AF6E2D" w:rsidRPr="00AF6E2D" w:rsidRDefault="00AF6E2D" w:rsidP="001F4FCE">
            <w:pPr>
              <w:rPr>
                <w:rFonts w:ascii="Verdana" w:hAnsi="Verdana"/>
                <w:noProof/>
                <w:sz w:val="20"/>
                <w:szCs w:val="20"/>
              </w:rPr>
            </w:pPr>
            <w:r w:rsidRPr="00AF6E2D">
              <w:rPr>
                <w:rFonts w:ascii="Verdana" w:hAnsi="Verdana"/>
                <w:noProof/>
                <w:sz w:val="20"/>
                <w:szCs w:val="20"/>
              </w:rPr>
              <w:t>Liquidity outflow</w:t>
            </w:r>
            <w:r w:rsidRPr="00AF6E2D">
              <w:rPr>
                <w:rFonts w:ascii="Verdana" w:hAnsi="Verdana"/>
                <w:noProof/>
                <w:sz w:val="20"/>
                <w:szCs w:val="20"/>
              </w:rPr>
              <w:tab/>
              <w:t xml:space="preserve"> 276,0</w:t>
            </w:r>
            <w:r w:rsidRPr="00AF6E2D">
              <w:rPr>
                <w:rFonts w:ascii="Verdana" w:hAnsi="Verdana"/>
                <w:noProof/>
                <w:sz w:val="20"/>
                <w:szCs w:val="20"/>
              </w:rPr>
              <w:tab/>
              <w:t>0,0</w:t>
            </w:r>
            <w:r w:rsidRPr="00AF6E2D">
              <w:rPr>
                <w:rFonts w:ascii="Verdana" w:hAnsi="Verdana"/>
                <w:noProof/>
                <w:sz w:val="20"/>
                <w:szCs w:val="20"/>
              </w:rPr>
              <w:tab/>
              <w:t>0,0</w:t>
            </w:r>
            <w:r w:rsidRPr="00AF6E2D">
              <w:rPr>
                <w:rFonts w:ascii="Verdana" w:hAnsi="Verdana"/>
                <w:noProof/>
                <w:sz w:val="20"/>
                <w:szCs w:val="20"/>
              </w:rPr>
              <w:tab/>
              <w:t>0,0</w:t>
            </w:r>
            <w:r w:rsidRPr="00AF6E2D">
              <w:rPr>
                <w:rFonts w:ascii="Verdana" w:hAnsi="Verdana"/>
                <w:noProof/>
                <w:sz w:val="20"/>
                <w:szCs w:val="20"/>
              </w:rPr>
              <w:tab/>
              <w:t>0,0</w:t>
            </w:r>
            <w:r w:rsidRPr="00AF6E2D">
              <w:rPr>
                <w:rFonts w:ascii="Verdana" w:hAnsi="Verdana"/>
                <w:noProof/>
                <w:sz w:val="20"/>
                <w:szCs w:val="20"/>
              </w:rPr>
              <w:tab/>
              <w:t>0,0</w:t>
            </w:r>
            <w:r w:rsidRPr="00AF6E2D">
              <w:rPr>
                <w:rFonts w:ascii="Verdana" w:hAnsi="Verdana"/>
                <w:noProof/>
                <w:sz w:val="20"/>
                <w:szCs w:val="20"/>
              </w:rPr>
              <w:tab/>
              <w:t>0,0</w:t>
            </w:r>
            <w:r w:rsidRPr="00AF6E2D">
              <w:rPr>
                <w:rFonts w:ascii="Verdana" w:hAnsi="Verdana"/>
                <w:noProof/>
                <w:sz w:val="20"/>
                <w:szCs w:val="20"/>
              </w:rPr>
              <w:tab/>
              <w:t>0,0</w:t>
            </w:r>
            <w:r w:rsidRPr="00AF6E2D">
              <w:rPr>
                <w:rFonts w:ascii="Verdana" w:hAnsi="Verdana"/>
                <w:noProof/>
                <w:sz w:val="20"/>
                <w:szCs w:val="20"/>
              </w:rPr>
              <w:tab/>
              <w:t>0,0</w:t>
            </w:r>
            <w:r w:rsidRPr="00AF6E2D">
              <w:rPr>
                <w:rFonts w:ascii="Verdana" w:hAnsi="Verdana"/>
                <w:noProof/>
                <w:sz w:val="20"/>
                <w:szCs w:val="20"/>
              </w:rPr>
              <w:tab/>
              <w:t>276,0</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 </w:t>
            </w:r>
            <w:r w:rsidRPr="00AF6E2D">
              <w:rPr>
                <w:rFonts w:ascii="Verdana" w:hAnsi="Verdana"/>
                <w:noProof/>
                <w:sz w:val="20"/>
                <w:szCs w:val="20"/>
              </w:rPr>
              <w:tab/>
              <w:t xml:space="preserve">        </w:t>
            </w:r>
            <w:r w:rsidRPr="00AF6E2D">
              <w:rPr>
                <w:rFonts w:ascii="Verdana" w:hAnsi="Verdana"/>
                <w:noProof/>
                <w:sz w:val="20"/>
                <w:szCs w:val="20"/>
              </w:rPr>
              <w:tab/>
              <w:t xml:space="preserve"> 55,2%</w:t>
            </w:r>
            <w:r w:rsidRPr="00AF6E2D">
              <w:rPr>
                <w:rFonts w:ascii="Verdana" w:hAnsi="Verdana"/>
                <w:noProof/>
                <w:sz w:val="20"/>
                <w:szCs w:val="20"/>
              </w:rPr>
              <w:tab/>
              <w:t>0,0%</w:t>
            </w:r>
            <w:r w:rsidRPr="00AF6E2D">
              <w:rPr>
                <w:rFonts w:ascii="Verdana" w:hAnsi="Verdana"/>
                <w:noProof/>
                <w:sz w:val="20"/>
                <w:szCs w:val="20"/>
              </w:rPr>
              <w:tab/>
              <w:t>0,0%</w:t>
            </w:r>
            <w:r w:rsidRPr="00AF6E2D">
              <w:rPr>
                <w:rFonts w:ascii="Verdana" w:hAnsi="Verdana"/>
                <w:noProof/>
                <w:sz w:val="20"/>
                <w:szCs w:val="20"/>
              </w:rPr>
              <w:tab/>
              <w:t>0,0%</w:t>
            </w:r>
            <w:r w:rsidRPr="00AF6E2D">
              <w:rPr>
                <w:rFonts w:ascii="Verdana" w:hAnsi="Verdana"/>
                <w:noProof/>
                <w:sz w:val="20"/>
                <w:szCs w:val="20"/>
              </w:rPr>
              <w:tab/>
              <w:t>0,0%</w:t>
            </w:r>
            <w:r w:rsidRPr="00AF6E2D">
              <w:rPr>
                <w:rFonts w:ascii="Verdana" w:hAnsi="Verdana"/>
                <w:noProof/>
                <w:sz w:val="20"/>
                <w:szCs w:val="20"/>
              </w:rPr>
              <w:tab/>
              <w:t>0,0%</w:t>
            </w:r>
            <w:r w:rsidRPr="00AF6E2D">
              <w:rPr>
                <w:rFonts w:ascii="Verdana" w:hAnsi="Verdana"/>
                <w:noProof/>
                <w:sz w:val="20"/>
                <w:szCs w:val="20"/>
              </w:rPr>
              <w:tab/>
              <w:t>0,0%</w:t>
            </w:r>
            <w:r w:rsidRPr="00AF6E2D">
              <w:rPr>
                <w:rFonts w:ascii="Verdana" w:hAnsi="Verdana"/>
                <w:noProof/>
                <w:sz w:val="20"/>
                <w:szCs w:val="20"/>
              </w:rPr>
              <w:tab/>
              <w:t>0,0%</w:t>
            </w:r>
            <w:r w:rsidRPr="00AF6E2D">
              <w:rPr>
                <w:rFonts w:ascii="Verdana" w:hAnsi="Verdana"/>
                <w:noProof/>
                <w:sz w:val="20"/>
                <w:szCs w:val="20"/>
              </w:rPr>
              <w:tab/>
              <w:t xml:space="preserve">0,0% </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        As can be seen from the corrected table, in the years 2020 / 2021 and 2022, the ”Opportunity costs” because of the new limit for NMP are amounting to 12%, 10% and 7,5%, respectively. Together with « normal » investment activities, about 10 – 15% of the turnover would have to be invested in those years.</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         Such a level of investment ratio is impossible for the winding wire sector, which has to live with small margins. A longer transition time is absolutely necessary for the whole industry.</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          Looking at another financial aspect, the flow of liquidity is drastically negative in first years; as can be seen in the following table, such liquidity flows will be impossible to handle.</w:t>
            </w:r>
          </w:p>
          <w:p w:rsidR="00AF6E2D" w:rsidRPr="00AF6E2D" w:rsidRDefault="00AF6E2D" w:rsidP="001F4FCE">
            <w:pPr>
              <w:rPr>
                <w:rFonts w:ascii="Verdana" w:hAnsi="Verdana"/>
                <w:noProof/>
                <w:sz w:val="20"/>
                <w:szCs w:val="20"/>
              </w:rPr>
            </w:pPr>
            <w:r w:rsidRPr="00AF6E2D">
              <w:rPr>
                <w:rFonts w:ascii="Verdana" w:hAnsi="Verdana"/>
                <w:noProof/>
                <w:sz w:val="20"/>
                <w:szCs w:val="20"/>
              </w:rPr>
              <w:t>5 - CONCLUSION</w:t>
            </w:r>
          </w:p>
          <w:p w:rsidR="00AF6E2D" w:rsidRPr="00AF6E2D" w:rsidRDefault="00AF6E2D" w:rsidP="001F4FCE">
            <w:pPr>
              <w:rPr>
                <w:rFonts w:ascii="Verdana" w:hAnsi="Verdana"/>
                <w:noProof/>
                <w:sz w:val="20"/>
                <w:szCs w:val="20"/>
              </w:rPr>
            </w:pPr>
            <w:r w:rsidRPr="00AF6E2D">
              <w:rPr>
                <w:rFonts w:ascii="Verdana" w:hAnsi="Verdana"/>
                <w:noProof/>
                <w:sz w:val="20"/>
                <w:szCs w:val="20"/>
              </w:rPr>
              <w:t>EWWG asks ECHA to consider the new ratios, 6 times higher than described in ECHA original table.</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These costs are not bearable in the Winding Wires industry for the following reasons: </w:t>
            </w:r>
          </w:p>
          <w:p w:rsidR="00AF6E2D" w:rsidRPr="00AF6E2D" w:rsidRDefault="00AF6E2D" w:rsidP="001F4FCE">
            <w:pPr>
              <w:rPr>
                <w:rFonts w:ascii="Verdana" w:hAnsi="Verdana"/>
                <w:noProof/>
                <w:sz w:val="20"/>
                <w:szCs w:val="20"/>
              </w:rPr>
            </w:pPr>
            <w:r w:rsidRPr="00AF6E2D">
              <w:rPr>
                <w:rFonts w:ascii="Verdana" w:hAnsi="Verdana"/>
                <w:noProof/>
                <w:sz w:val="20"/>
                <w:szCs w:val="20"/>
              </w:rPr>
              <w:t>This industry is exclusively made of SME, since big groups and companies have left this industry. It is a low-profit industry, because of investment costs.</w:t>
            </w:r>
          </w:p>
          <w:p w:rsidR="00AF6E2D" w:rsidRPr="00AF6E2D" w:rsidRDefault="00AF6E2D" w:rsidP="001F4FCE">
            <w:pPr>
              <w:rPr>
                <w:rFonts w:ascii="Verdana" w:hAnsi="Verdana"/>
                <w:noProof/>
                <w:sz w:val="20"/>
                <w:szCs w:val="20"/>
              </w:rPr>
            </w:pPr>
            <w:r w:rsidRPr="00AF6E2D">
              <w:rPr>
                <w:rFonts w:ascii="Verdana" w:hAnsi="Verdana"/>
                <w:noProof/>
                <w:sz w:val="20"/>
                <w:szCs w:val="20"/>
              </w:rPr>
              <w:lastRenderedPageBreak/>
              <w:t>The global trend of this business is not increasing, when OEM are relocating in lower cost countries; production sites have closed in EU.</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EWWG companies survive between profit and loss; they need sufficient time to adapt. </w:t>
            </w:r>
          </w:p>
          <w:p w:rsidR="00AF6E2D" w:rsidRPr="00AF6E2D" w:rsidRDefault="00AF6E2D" w:rsidP="001F4FCE">
            <w:pPr>
              <w:rPr>
                <w:rFonts w:ascii="Verdana" w:hAnsi="Verdana"/>
                <w:noProof/>
                <w:sz w:val="20"/>
                <w:szCs w:val="20"/>
              </w:rPr>
            </w:pPr>
            <w:r w:rsidRPr="00AF6E2D">
              <w:rPr>
                <w:rFonts w:ascii="Verdana" w:hAnsi="Verdana"/>
                <w:noProof/>
                <w:sz w:val="20"/>
                <w:szCs w:val="20"/>
              </w:rPr>
              <w:t></w:t>
            </w:r>
            <w:r w:rsidRPr="00AF6E2D">
              <w:rPr>
                <w:rFonts w:ascii="Verdana" w:hAnsi="Verdana"/>
                <w:noProof/>
                <w:sz w:val="20"/>
                <w:szCs w:val="20"/>
              </w:rPr>
              <w:tab/>
              <w:t xml:space="preserve">The transition period is preferred to be 15 years; it is not acceptable and not possible in 5 or 6 years. A longer transition period is essential. </w:t>
            </w:r>
          </w:p>
          <w:p w:rsidR="00AF6E2D" w:rsidRPr="00AF6E2D" w:rsidRDefault="00AF6E2D" w:rsidP="001F4FCE">
            <w:pPr>
              <w:rPr>
                <w:rFonts w:ascii="Verdana" w:hAnsi="Verdana"/>
                <w:noProof/>
                <w:sz w:val="20"/>
                <w:szCs w:val="20"/>
              </w:rPr>
            </w:pPr>
            <w:r w:rsidRPr="00AF6E2D">
              <w:rPr>
                <w:rFonts w:ascii="Verdana" w:hAnsi="Verdana"/>
                <w:noProof/>
                <w:sz w:val="20"/>
                <w:szCs w:val="20"/>
              </w:rPr>
              <w:t></w:t>
            </w:r>
            <w:r w:rsidRPr="00AF6E2D">
              <w:rPr>
                <w:rFonts w:ascii="Verdana" w:hAnsi="Verdana"/>
                <w:noProof/>
                <w:sz w:val="20"/>
                <w:szCs w:val="20"/>
              </w:rPr>
              <w:tab/>
              <w:t>SEAC is kindly asked to propose in the report a more realistic transition period, which is economically bearable.</w:t>
            </w:r>
          </w:p>
          <w:p w:rsidR="00AF6E2D" w:rsidRPr="00AF6E2D" w:rsidRDefault="00AF6E2D" w:rsidP="001F4FCE">
            <w:pPr>
              <w:rPr>
                <w:rFonts w:ascii="Verdana" w:hAnsi="Verdana"/>
                <w:sz w:val="20"/>
                <w:szCs w:val="20"/>
              </w:rPr>
            </w:pPr>
          </w:p>
        </w:tc>
      </w:tr>
      <w:tr w:rsidR="00AF6E2D" w:rsidRPr="00AF6E2D" w:rsidTr="00452DEB">
        <w:tc>
          <w:tcPr>
            <w:tcW w:w="817" w:type="dxa"/>
            <w:vMerge/>
          </w:tcPr>
          <w:p w:rsidR="00AF6E2D" w:rsidRPr="00AF6E2D" w:rsidRDefault="00AF6E2D" w:rsidP="001F4FCE">
            <w:pPr>
              <w:rPr>
                <w:rFonts w:ascii="Verdana" w:hAnsi="Verdana"/>
                <w:sz w:val="20"/>
                <w:szCs w:val="20"/>
              </w:rPr>
            </w:pPr>
          </w:p>
        </w:tc>
        <w:tc>
          <w:tcPr>
            <w:tcW w:w="2693" w:type="dxa"/>
            <w:vMerge/>
          </w:tcPr>
          <w:p w:rsidR="00AF6E2D" w:rsidRPr="00AF6E2D" w:rsidRDefault="00AF6E2D" w:rsidP="001F4FCE">
            <w:pPr>
              <w:rPr>
                <w:rFonts w:ascii="Verdana" w:hAnsi="Verdana"/>
                <w:b/>
                <w:sz w:val="20"/>
                <w:szCs w:val="20"/>
              </w:rPr>
            </w:pPr>
          </w:p>
        </w:tc>
        <w:tc>
          <w:tcPr>
            <w:tcW w:w="10632" w:type="dxa"/>
            <w:gridSpan w:val="2"/>
          </w:tcPr>
          <w:p w:rsidR="00AF6E2D" w:rsidRPr="00AF6E2D" w:rsidRDefault="00AF6E2D" w:rsidP="001F4FCE">
            <w:pPr>
              <w:rPr>
                <w:rFonts w:ascii="Verdana" w:hAnsi="Verdana"/>
                <w:b/>
                <w:sz w:val="20"/>
                <w:szCs w:val="20"/>
              </w:rPr>
            </w:pPr>
            <w:r w:rsidRPr="00AF6E2D">
              <w:rPr>
                <w:rFonts w:ascii="Verdana" w:hAnsi="Verdana"/>
                <w:b/>
                <w:sz w:val="20"/>
                <w:szCs w:val="20"/>
              </w:rPr>
              <w:t>SEAC Rapporteurs response</w:t>
            </w:r>
          </w:p>
          <w:p w:rsidR="00AF6E2D" w:rsidRDefault="00E86BA2" w:rsidP="001F4FCE">
            <w:pPr>
              <w:rPr>
                <w:rFonts w:ascii="Verdana" w:hAnsi="Verdana"/>
                <w:sz w:val="20"/>
                <w:szCs w:val="20"/>
              </w:rPr>
            </w:pPr>
            <w:r>
              <w:rPr>
                <w:rFonts w:ascii="Verdana" w:hAnsi="Verdana"/>
                <w:sz w:val="20"/>
                <w:szCs w:val="20"/>
              </w:rPr>
              <w:t xml:space="preserve">Thank you for your remarks. </w:t>
            </w:r>
          </w:p>
          <w:p w:rsidR="00E86BA2" w:rsidRDefault="00E86BA2" w:rsidP="001F4FCE">
            <w:pPr>
              <w:rPr>
                <w:rFonts w:ascii="Verdana" w:hAnsi="Verdana"/>
                <w:sz w:val="20"/>
                <w:szCs w:val="20"/>
              </w:rPr>
            </w:pPr>
          </w:p>
          <w:p w:rsidR="006A3B6E" w:rsidRDefault="006A3B6E" w:rsidP="001F4FCE">
            <w:pPr>
              <w:rPr>
                <w:rFonts w:ascii="Verdana" w:hAnsi="Verdana"/>
                <w:sz w:val="20"/>
                <w:szCs w:val="20"/>
              </w:rPr>
            </w:pPr>
            <w:r>
              <w:rPr>
                <w:rFonts w:ascii="Verdana" w:hAnsi="Verdana"/>
                <w:sz w:val="20"/>
                <w:szCs w:val="20"/>
              </w:rPr>
              <w:t xml:space="preserve">We do not agree that authorisation per se is </w:t>
            </w:r>
            <w:r w:rsidRPr="00AF6E2D">
              <w:rPr>
                <w:rFonts w:ascii="Verdana" w:hAnsi="Verdana"/>
                <w:noProof/>
                <w:sz w:val="20"/>
                <w:szCs w:val="20"/>
              </w:rPr>
              <w:t>irreconcilable with long term</w:t>
            </w:r>
            <w:r>
              <w:rPr>
                <w:rFonts w:ascii="Verdana" w:hAnsi="Verdana"/>
                <w:noProof/>
                <w:sz w:val="20"/>
                <w:szCs w:val="20"/>
              </w:rPr>
              <w:t xml:space="preserve"> investments. This can be managed through the length of the review period. Furthermore, if after the investment the risk is adequately controlled, application for authorisation will be granted. </w:t>
            </w:r>
          </w:p>
          <w:p w:rsidR="006A3B6E" w:rsidRDefault="006A3B6E" w:rsidP="001F4FCE">
            <w:pPr>
              <w:rPr>
                <w:rFonts w:ascii="Verdana" w:hAnsi="Verdana"/>
                <w:sz w:val="20"/>
                <w:szCs w:val="20"/>
              </w:rPr>
            </w:pPr>
          </w:p>
          <w:p w:rsidR="00E86BA2" w:rsidRDefault="00E86BA2" w:rsidP="001F4FCE">
            <w:pPr>
              <w:rPr>
                <w:rFonts w:ascii="Verdana" w:hAnsi="Verdana"/>
                <w:sz w:val="20"/>
                <w:szCs w:val="20"/>
              </w:rPr>
            </w:pPr>
            <w:r>
              <w:rPr>
                <w:rFonts w:ascii="Verdana" w:hAnsi="Verdana"/>
                <w:sz w:val="20"/>
                <w:szCs w:val="20"/>
              </w:rPr>
              <w:t xml:space="preserve">The opportunity costs should not be aggregated as done in your comment. For all wire lines of more than 20 years (as those established in this century already are able to comply with the proposed level for exposure) the relevant factor is the advanced investments. Lines of 29 years age would in average only have 1 year left, while lines of </w:t>
            </w:r>
            <w:r w:rsidR="00465C46">
              <w:rPr>
                <w:rFonts w:ascii="Verdana" w:hAnsi="Verdana"/>
                <w:sz w:val="20"/>
                <w:szCs w:val="20"/>
              </w:rPr>
              <w:t xml:space="preserve">the age of </w:t>
            </w:r>
            <w:r>
              <w:rPr>
                <w:rFonts w:ascii="Verdana" w:hAnsi="Verdana"/>
                <w:sz w:val="20"/>
                <w:szCs w:val="20"/>
              </w:rPr>
              <w:t>21 years would have 9 years left. Hence the following opportunity cost (what the money could have been used for instead) is estimated as follows</w:t>
            </w:r>
            <w:r w:rsidR="00404833">
              <w:rPr>
                <w:rFonts w:ascii="Verdana" w:hAnsi="Verdana"/>
                <w:sz w:val="20"/>
                <w:szCs w:val="20"/>
              </w:rPr>
              <w:t xml:space="preserve"> (cf. table 15a in the background document).</w:t>
            </w:r>
            <w:r>
              <w:rPr>
                <w:rFonts w:ascii="Verdana" w:hAnsi="Verdana"/>
                <w:sz w:val="20"/>
                <w:szCs w:val="20"/>
              </w:rPr>
              <w:t xml:space="preserve">  </w:t>
            </w:r>
          </w:p>
          <w:p w:rsidR="00E86BA2" w:rsidRDefault="00E86BA2" w:rsidP="001F4FCE">
            <w:pPr>
              <w:rPr>
                <w:rFonts w:ascii="Verdana" w:hAnsi="Verdana"/>
                <w:sz w:val="20"/>
                <w:szCs w:val="20"/>
              </w:rPr>
            </w:pPr>
          </w:p>
          <w:tbl>
            <w:tblPr>
              <w:tblW w:w="8200" w:type="dxa"/>
              <w:tblLayout w:type="fixed"/>
              <w:tblCellMar>
                <w:left w:w="70" w:type="dxa"/>
                <w:right w:w="70" w:type="dxa"/>
              </w:tblCellMar>
              <w:tblLook w:val="04A0" w:firstRow="1" w:lastRow="0" w:firstColumn="1" w:lastColumn="0" w:noHBand="0" w:noVBand="1"/>
            </w:tblPr>
            <w:tblGrid>
              <w:gridCol w:w="2779"/>
              <w:gridCol w:w="1040"/>
              <w:gridCol w:w="1037"/>
              <w:gridCol w:w="953"/>
              <w:gridCol w:w="1155"/>
              <w:gridCol w:w="1236"/>
            </w:tblGrid>
            <w:tr w:rsidR="00E86BA2" w:rsidRPr="00E86BA2" w:rsidTr="00E86BA2">
              <w:trPr>
                <w:trHeight w:val="900"/>
              </w:trPr>
              <w:tc>
                <w:tcPr>
                  <w:tcW w:w="2779" w:type="dxa"/>
                  <w:tcBorders>
                    <w:top w:val="nil"/>
                    <w:left w:val="nil"/>
                    <w:bottom w:val="nil"/>
                    <w:right w:val="nil"/>
                  </w:tcBorders>
                  <w:shd w:val="clear" w:color="auto" w:fill="auto"/>
                  <w:vAlign w:val="bottom"/>
                  <w:hideMark/>
                </w:tcPr>
                <w:p w:rsidR="00E86BA2" w:rsidRPr="00E86BA2" w:rsidRDefault="00E86BA2" w:rsidP="00E86BA2">
                  <w:pPr>
                    <w:rPr>
                      <w:rFonts w:ascii="Calibri" w:hAnsi="Calibri"/>
                      <w:color w:val="000000"/>
                      <w:sz w:val="22"/>
                      <w:szCs w:val="22"/>
                      <w:lang w:val="en-US" w:eastAsia="da-DK"/>
                    </w:rPr>
                  </w:pPr>
                  <w:r w:rsidRPr="00E86BA2">
                    <w:rPr>
                      <w:rFonts w:ascii="Calibri" w:hAnsi="Calibri"/>
                      <w:color w:val="000000"/>
                      <w:sz w:val="22"/>
                      <w:szCs w:val="22"/>
                      <w:lang w:val="en-US" w:eastAsia="da-DK"/>
                    </w:rPr>
                    <w:t>Number of remaining years</w:t>
                  </w:r>
                </w:p>
              </w:tc>
              <w:tc>
                <w:tcPr>
                  <w:tcW w:w="1040" w:type="dxa"/>
                  <w:tcBorders>
                    <w:top w:val="nil"/>
                    <w:left w:val="nil"/>
                    <w:bottom w:val="nil"/>
                    <w:right w:val="nil"/>
                  </w:tcBorders>
                  <w:shd w:val="clear" w:color="auto" w:fill="auto"/>
                  <w:vAlign w:val="bottom"/>
                  <w:hideMark/>
                </w:tcPr>
                <w:p w:rsidR="00E86BA2" w:rsidRPr="00E86BA2" w:rsidRDefault="00E86BA2" w:rsidP="00E86BA2">
                  <w:pPr>
                    <w:rPr>
                      <w:rFonts w:ascii="Calibri" w:hAnsi="Calibri"/>
                      <w:color w:val="000000"/>
                      <w:sz w:val="22"/>
                      <w:szCs w:val="22"/>
                      <w:lang w:val="en-US" w:eastAsia="da-DK"/>
                    </w:rPr>
                  </w:pPr>
                  <w:r w:rsidRPr="00E86BA2">
                    <w:rPr>
                      <w:rFonts w:ascii="Calibri" w:hAnsi="Calibri"/>
                      <w:color w:val="000000"/>
                      <w:sz w:val="22"/>
                      <w:szCs w:val="22"/>
                      <w:lang w:val="en-US" w:eastAsia="da-DK"/>
                    </w:rPr>
                    <w:t>Part of investment</w:t>
                  </w:r>
                </w:p>
              </w:tc>
              <w:tc>
                <w:tcPr>
                  <w:tcW w:w="1037" w:type="dxa"/>
                  <w:tcBorders>
                    <w:top w:val="nil"/>
                    <w:left w:val="nil"/>
                    <w:bottom w:val="nil"/>
                    <w:right w:val="nil"/>
                  </w:tcBorders>
                  <w:shd w:val="clear" w:color="auto" w:fill="auto"/>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Projection factor</w:t>
                  </w:r>
                </w:p>
              </w:tc>
              <w:tc>
                <w:tcPr>
                  <w:tcW w:w="953" w:type="dxa"/>
                  <w:tcBorders>
                    <w:top w:val="nil"/>
                    <w:left w:val="nil"/>
                    <w:bottom w:val="nil"/>
                    <w:right w:val="nil"/>
                  </w:tcBorders>
                  <w:shd w:val="clear" w:color="auto" w:fill="auto"/>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Interest m€</w:t>
                  </w:r>
                </w:p>
              </w:tc>
              <w:tc>
                <w:tcPr>
                  <w:tcW w:w="1155" w:type="dxa"/>
                  <w:tcBorders>
                    <w:top w:val="nil"/>
                    <w:left w:val="nil"/>
                    <w:bottom w:val="nil"/>
                    <w:right w:val="nil"/>
                  </w:tcBorders>
                  <w:shd w:val="clear" w:color="auto" w:fill="auto"/>
                  <w:vAlign w:val="bottom"/>
                  <w:hideMark/>
                </w:tcPr>
                <w:p w:rsidR="00E86BA2" w:rsidRPr="00E86BA2" w:rsidRDefault="00E86BA2" w:rsidP="00E86BA2">
                  <w:pPr>
                    <w:rPr>
                      <w:rFonts w:ascii="Calibri" w:hAnsi="Calibri"/>
                      <w:color w:val="000000"/>
                      <w:sz w:val="22"/>
                      <w:szCs w:val="22"/>
                      <w:lang w:val="en-US" w:eastAsia="da-DK"/>
                    </w:rPr>
                  </w:pPr>
                  <w:r w:rsidRPr="00E86BA2">
                    <w:rPr>
                      <w:rFonts w:ascii="Calibri" w:hAnsi="Calibri"/>
                      <w:color w:val="000000"/>
                      <w:sz w:val="22"/>
                      <w:szCs w:val="22"/>
                      <w:lang w:val="en-US" w:eastAsia="da-DK"/>
                    </w:rPr>
                    <w:t>Number of years postponed</w:t>
                  </w:r>
                </w:p>
              </w:tc>
              <w:tc>
                <w:tcPr>
                  <w:tcW w:w="1236" w:type="dxa"/>
                  <w:tcBorders>
                    <w:top w:val="nil"/>
                    <w:left w:val="nil"/>
                    <w:bottom w:val="nil"/>
                    <w:right w:val="nil"/>
                  </w:tcBorders>
                  <w:shd w:val="clear" w:color="auto" w:fill="auto"/>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Opportunity costs total, m€</w:t>
                  </w:r>
                </w:p>
              </w:tc>
            </w:tr>
            <w:tr w:rsidR="00E86BA2" w:rsidRPr="00E86BA2" w:rsidTr="00E86BA2">
              <w:trPr>
                <w:trHeight w:val="300"/>
              </w:trPr>
              <w:tc>
                <w:tcPr>
                  <w:tcW w:w="2779" w:type="dxa"/>
                  <w:tcBorders>
                    <w:top w:val="nil"/>
                    <w:left w:val="nil"/>
                    <w:bottom w:val="nil"/>
                    <w:right w:val="nil"/>
                  </w:tcBorders>
                  <w:shd w:val="clear" w:color="auto" w:fill="auto"/>
                  <w:noWrap/>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1</w:t>
                  </w:r>
                </w:p>
              </w:tc>
              <w:tc>
                <w:tcPr>
                  <w:tcW w:w="1040" w:type="dxa"/>
                  <w:tcBorders>
                    <w:top w:val="nil"/>
                    <w:left w:val="nil"/>
                    <w:bottom w:val="nil"/>
                    <w:right w:val="nil"/>
                  </w:tcBorders>
                  <w:shd w:val="clear" w:color="auto" w:fill="auto"/>
                  <w:noWrap/>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30,67</w:t>
                  </w:r>
                </w:p>
              </w:tc>
              <w:tc>
                <w:tcPr>
                  <w:tcW w:w="1037" w:type="dxa"/>
                  <w:tcBorders>
                    <w:top w:val="nil"/>
                    <w:left w:val="nil"/>
                    <w:bottom w:val="nil"/>
                    <w:right w:val="nil"/>
                  </w:tcBorders>
                  <w:shd w:val="clear" w:color="auto" w:fill="auto"/>
                  <w:noWrap/>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1,04</w:t>
                  </w:r>
                </w:p>
              </w:tc>
              <w:tc>
                <w:tcPr>
                  <w:tcW w:w="953" w:type="dxa"/>
                  <w:tcBorders>
                    <w:top w:val="nil"/>
                    <w:left w:val="nil"/>
                    <w:bottom w:val="nil"/>
                    <w:right w:val="nil"/>
                  </w:tcBorders>
                  <w:shd w:val="clear" w:color="auto" w:fill="auto"/>
                  <w:noWrap/>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1,2</w:t>
                  </w:r>
                </w:p>
              </w:tc>
              <w:tc>
                <w:tcPr>
                  <w:tcW w:w="1155" w:type="dxa"/>
                  <w:tcBorders>
                    <w:top w:val="nil"/>
                    <w:left w:val="nil"/>
                    <w:bottom w:val="nil"/>
                    <w:right w:val="nil"/>
                  </w:tcBorders>
                  <w:shd w:val="clear" w:color="auto" w:fill="auto"/>
                  <w:vAlign w:val="bottom"/>
                  <w:hideMark/>
                </w:tcPr>
                <w:p w:rsidR="00E86BA2" w:rsidRPr="00E86BA2" w:rsidRDefault="00E86BA2" w:rsidP="00E86BA2">
                  <w:pPr>
                    <w:rPr>
                      <w:rFonts w:ascii="Calibri" w:hAnsi="Calibri"/>
                      <w:color w:val="000000"/>
                      <w:sz w:val="22"/>
                      <w:szCs w:val="22"/>
                      <w:lang w:val="en-US" w:eastAsia="da-DK"/>
                    </w:rPr>
                  </w:pPr>
                  <w:r w:rsidRPr="00E86BA2">
                    <w:rPr>
                      <w:rFonts w:ascii="Calibri" w:hAnsi="Calibri"/>
                      <w:color w:val="000000"/>
                      <w:sz w:val="22"/>
                      <w:szCs w:val="22"/>
                      <w:lang w:val="en-US" w:eastAsia="da-DK"/>
                    </w:rPr>
                    <w:t>8 years</w:t>
                  </w:r>
                </w:p>
              </w:tc>
              <w:tc>
                <w:tcPr>
                  <w:tcW w:w="1236" w:type="dxa"/>
                  <w:tcBorders>
                    <w:top w:val="nil"/>
                    <w:left w:val="nil"/>
                    <w:bottom w:val="nil"/>
                    <w:right w:val="nil"/>
                  </w:tcBorders>
                  <w:shd w:val="clear" w:color="auto" w:fill="auto"/>
                  <w:noWrap/>
                  <w:vAlign w:val="bottom"/>
                  <w:hideMark/>
                </w:tcPr>
                <w:p w:rsidR="00E86BA2" w:rsidRPr="00E86BA2" w:rsidRDefault="00E86BA2" w:rsidP="00E86BA2">
                  <w:pPr>
                    <w:jc w:val="right"/>
                    <w:rPr>
                      <w:rFonts w:ascii="Calibri" w:hAnsi="Calibri"/>
                      <w:color w:val="000000"/>
                      <w:sz w:val="22"/>
                      <w:szCs w:val="22"/>
                      <w:lang w:val="en-US" w:eastAsia="da-DK"/>
                    </w:rPr>
                  </w:pPr>
                  <w:r w:rsidRPr="00E86BA2">
                    <w:rPr>
                      <w:rFonts w:ascii="Calibri" w:hAnsi="Calibri"/>
                      <w:color w:val="000000"/>
                      <w:sz w:val="22"/>
                      <w:szCs w:val="22"/>
                      <w:lang w:val="en-US" w:eastAsia="da-DK"/>
                    </w:rPr>
                    <w:t>1,2</w:t>
                  </w:r>
                </w:p>
              </w:tc>
            </w:tr>
            <w:tr w:rsidR="00E86BA2" w:rsidRPr="00E86BA2" w:rsidTr="00E86BA2">
              <w:trPr>
                <w:trHeight w:val="300"/>
              </w:trPr>
              <w:tc>
                <w:tcPr>
                  <w:tcW w:w="2779" w:type="dxa"/>
                  <w:tcBorders>
                    <w:top w:val="nil"/>
                    <w:left w:val="nil"/>
                    <w:bottom w:val="nil"/>
                    <w:right w:val="nil"/>
                  </w:tcBorders>
                  <w:shd w:val="clear" w:color="auto" w:fill="auto"/>
                  <w:noWrap/>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2</w:t>
                  </w:r>
                </w:p>
              </w:tc>
              <w:tc>
                <w:tcPr>
                  <w:tcW w:w="1040" w:type="dxa"/>
                  <w:tcBorders>
                    <w:top w:val="nil"/>
                    <w:left w:val="nil"/>
                    <w:bottom w:val="nil"/>
                    <w:right w:val="nil"/>
                  </w:tcBorders>
                  <w:shd w:val="clear" w:color="auto" w:fill="auto"/>
                  <w:noWrap/>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30,67</w:t>
                  </w:r>
                </w:p>
              </w:tc>
              <w:tc>
                <w:tcPr>
                  <w:tcW w:w="1037" w:type="dxa"/>
                  <w:tcBorders>
                    <w:top w:val="nil"/>
                    <w:left w:val="nil"/>
                    <w:bottom w:val="nil"/>
                    <w:right w:val="nil"/>
                  </w:tcBorders>
                  <w:shd w:val="clear" w:color="auto" w:fill="auto"/>
                  <w:noWrap/>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1,08</w:t>
                  </w:r>
                </w:p>
              </w:tc>
              <w:tc>
                <w:tcPr>
                  <w:tcW w:w="953" w:type="dxa"/>
                  <w:tcBorders>
                    <w:top w:val="nil"/>
                    <w:left w:val="nil"/>
                    <w:bottom w:val="nil"/>
                    <w:right w:val="nil"/>
                  </w:tcBorders>
                  <w:shd w:val="clear" w:color="auto" w:fill="auto"/>
                  <w:noWrap/>
                  <w:vAlign w:val="center"/>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2,5</w:t>
                  </w:r>
                </w:p>
              </w:tc>
              <w:tc>
                <w:tcPr>
                  <w:tcW w:w="1155" w:type="dxa"/>
                  <w:tcBorders>
                    <w:top w:val="nil"/>
                    <w:left w:val="nil"/>
                    <w:bottom w:val="nil"/>
                    <w:right w:val="nil"/>
                  </w:tcBorders>
                  <w:shd w:val="clear" w:color="auto" w:fill="auto"/>
                  <w:vAlign w:val="bottom"/>
                  <w:hideMark/>
                </w:tcPr>
                <w:p w:rsidR="00E86BA2" w:rsidRPr="00E86BA2" w:rsidRDefault="00E86BA2" w:rsidP="00E86BA2">
                  <w:pPr>
                    <w:rPr>
                      <w:rFonts w:ascii="Calibri" w:hAnsi="Calibri"/>
                      <w:color w:val="000000"/>
                      <w:sz w:val="22"/>
                      <w:szCs w:val="22"/>
                      <w:lang w:val="en-US" w:eastAsia="da-DK"/>
                    </w:rPr>
                  </w:pPr>
                  <w:r w:rsidRPr="00E86BA2">
                    <w:rPr>
                      <w:rFonts w:ascii="Calibri" w:hAnsi="Calibri"/>
                      <w:color w:val="000000"/>
                      <w:sz w:val="22"/>
                      <w:szCs w:val="22"/>
                      <w:lang w:val="en-US" w:eastAsia="da-DK"/>
                    </w:rPr>
                    <w:t>7 years</w:t>
                  </w:r>
                </w:p>
              </w:tc>
              <w:tc>
                <w:tcPr>
                  <w:tcW w:w="1236" w:type="dxa"/>
                  <w:tcBorders>
                    <w:top w:val="nil"/>
                    <w:left w:val="nil"/>
                    <w:bottom w:val="nil"/>
                    <w:right w:val="nil"/>
                  </w:tcBorders>
                  <w:shd w:val="clear" w:color="auto" w:fill="auto"/>
                  <w:noWrap/>
                  <w:vAlign w:val="bottom"/>
                  <w:hideMark/>
                </w:tcPr>
                <w:p w:rsidR="00E86BA2" w:rsidRPr="00E86BA2" w:rsidRDefault="00E86BA2" w:rsidP="00E86BA2">
                  <w:pPr>
                    <w:jc w:val="right"/>
                    <w:rPr>
                      <w:rFonts w:ascii="Calibri" w:hAnsi="Calibri"/>
                      <w:color w:val="000000"/>
                      <w:sz w:val="22"/>
                      <w:szCs w:val="22"/>
                      <w:lang w:val="en-US" w:eastAsia="da-DK"/>
                    </w:rPr>
                  </w:pPr>
                  <w:r w:rsidRPr="00E86BA2">
                    <w:rPr>
                      <w:rFonts w:ascii="Calibri" w:hAnsi="Calibri"/>
                      <w:color w:val="000000"/>
                      <w:sz w:val="22"/>
                      <w:szCs w:val="22"/>
                      <w:lang w:val="en-US" w:eastAsia="da-DK"/>
                    </w:rPr>
                    <w:t>3,7</w:t>
                  </w:r>
                </w:p>
              </w:tc>
            </w:tr>
            <w:tr w:rsidR="00E86BA2" w:rsidRPr="00E86BA2" w:rsidTr="00E86BA2">
              <w:trPr>
                <w:trHeight w:val="300"/>
              </w:trPr>
              <w:tc>
                <w:tcPr>
                  <w:tcW w:w="2779" w:type="dxa"/>
                  <w:tcBorders>
                    <w:top w:val="nil"/>
                    <w:left w:val="nil"/>
                    <w:bottom w:val="nil"/>
                    <w:right w:val="nil"/>
                  </w:tcBorders>
                  <w:shd w:val="clear" w:color="auto" w:fill="auto"/>
                  <w:noWrap/>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3</w:t>
                  </w:r>
                </w:p>
              </w:tc>
              <w:tc>
                <w:tcPr>
                  <w:tcW w:w="1040" w:type="dxa"/>
                  <w:tcBorders>
                    <w:top w:val="nil"/>
                    <w:left w:val="nil"/>
                    <w:bottom w:val="nil"/>
                    <w:right w:val="nil"/>
                  </w:tcBorders>
                  <w:shd w:val="clear" w:color="auto" w:fill="auto"/>
                  <w:noWrap/>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30,67</w:t>
                  </w:r>
                </w:p>
              </w:tc>
              <w:tc>
                <w:tcPr>
                  <w:tcW w:w="1037" w:type="dxa"/>
                  <w:tcBorders>
                    <w:top w:val="nil"/>
                    <w:left w:val="nil"/>
                    <w:bottom w:val="nil"/>
                    <w:right w:val="nil"/>
                  </w:tcBorders>
                  <w:shd w:val="clear" w:color="auto" w:fill="auto"/>
                  <w:noWrap/>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1,12</w:t>
                  </w:r>
                </w:p>
              </w:tc>
              <w:tc>
                <w:tcPr>
                  <w:tcW w:w="953" w:type="dxa"/>
                  <w:tcBorders>
                    <w:top w:val="nil"/>
                    <w:left w:val="nil"/>
                    <w:bottom w:val="nil"/>
                    <w:right w:val="nil"/>
                  </w:tcBorders>
                  <w:shd w:val="clear" w:color="auto" w:fill="auto"/>
                  <w:noWrap/>
                  <w:vAlign w:val="center"/>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3,8</w:t>
                  </w:r>
                </w:p>
              </w:tc>
              <w:tc>
                <w:tcPr>
                  <w:tcW w:w="1155" w:type="dxa"/>
                  <w:tcBorders>
                    <w:top w:val="nil"/>
                    <w:left w:val="nil"/>
                    <w:bottom w:val="nil"/>
                    <w:right w:val="nil"/>
                  </w:tcBorders>
                  <w:shd w:val="clear" w:color="auto" w:fill="auto"/>
                  <w:vAlign w:val="bottom"/>
                  <w:hideMark/>
                </w:tcPr>
                <w:p w:rsidR="00E86BA2" w:rsidRPr="00E86BA2" w:rsidRDefault="00E86BA2" w:rsidP="00E86BA2">
                  <w:pPr>
                    <w:rPr>
                      <w:rFonts w:ascii="Calibri" w:hAnsi="Calibri"/>
                      <w:color w:val="000000"/>
                      <w:sz w:val="22"/>
                      <w:szCs w:val="22"/>
                      <w:lang w:val="en-US" w:eastAsia="da-DK"/>
                    </w:rPr>
                  </w:pPr>
                  <w:r w:rsidRPr="00E86BA2">
                    <w:rPr>
                      <w:rFonts w:ascii="Calibri" w:hAnsi="Calibri"/>
                      <w:color w:val="000000"/>
                      <w:sz w:val="22"/>
                      <w:szCs w:val="22"/>
                      <w:lang w:val="en-US" w:eastAsia="da-DK"/>
                    </w:rPr>
                    <w:t xml:space="preserve"> 6 years</w:t>
                  </w:r>
                </w:p>
              </w:tc>
              <w:tc>
                <w:tcPr>
                  <w:tcW w:w="1236" w:type="dxa"/>
                  <w:tcBorders>
                    <w:top w:val="nil"/>
                    <w:left w:val="nil"/>
                    <w:bottom w:val="nil"/>
                    <w:right w:val="nil"/>
                  </w:tcBorders>
                  <w:shd w:val="clear" w:color="auto" w:fill="auto"/>
                  <w:noWrap/>
                  <w:vAlign w:val="bottom"/>
                  <w:hideMark/>
                </w:tcPr>
                <w:p w:rsidR="00E86BA2" w:rsidRPr="00E86BA2" w:rsidRDefault="00E86BA2" w:rsidP="00E86BA2">
                  <w:pPr>
                    <w:jc w:val="right"/>
                    <w:rPr>
                      <w:rFonts w:ascii="Calibri" w:hAnsi="Calibri"/>
                      <w:color w:val="000000"/>
                      <w:sz w:val="22"/>
                      <w:szCs w:val="22"/>
                      <w:lang w:val="en-US" w:eastAsia="da-DK"/>
                    </w:rPr>
                  </w:pPr>
                  <w:r w:rsidRPr="00E86BA2">
                    <w:rPr>
                      <w:rFonts w:ascii="Calibri" w:hAnsi="Calibri"/>
                      <w:color w:val="000000"/>
                      <w:sz w:val="22"/>
                      <w:szCs w:val="22"/>
                      <w:lang w:val="en-US" w:eastAsia="da-DK"/>
                    </w:rPr>
                    <w:t>7,6</w:t>
                  </w:r>
                </w:p>
              </w:tc>
            </w:tr>
            <w:tr w:rsidR="00E86BA2" w:rsidRPr="00E86BA2" w:rsidTr="00E86BA2">
              <w:trPr>
                <w:trHeight w:val="300"/>
              </w:trPr>
              <w:tc>
                <w:tcPr>
                  <w:tcW w:w="2779" w:type="dxa"/>
                  <w:tcBorders>
                    <w:top w:val="nil"/>
                    <w:left w:val="nil"/>
                    <w:bottom w:val="nil"/>
                    <w:right w:val="nil"/>
                  </w:tcBorders>
                  <w:shd w:val="clear" w:color="auto" w:fill="auto"/>
                  <w:noWrap/>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4</w:t>
                  </w:r>
                </w:p>
              </w:tc>
              <w:tc>
                <w:tcPr>
                  <w:tcW w:w="1040" w:type="dxa"/>
                  <w:tcBorders>
                    <w:top w:val="nil"/>
                    <w:left w:val="nil"/>
                    <w:bottom w:val="nil"/>
                    <w:right w:val="nil"/>
                  </w:tcBorders>
                  <w:shd w:val="clear" w:color="auto" w:fill="auto"/>
                  <w:noWrap/>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30,67</w:t>
                  </w:r>
                </w:p>
              </w:tc>
              <w:tc>
                <w:tcPr>
                  <w:tcW w:w="1037" w:type="dxa"/>
                  <w:tcBorders>
                    <w:top w:val="nil"/>
                    <w:left w:val="nil"/>
                    <w:bottom w:val="nil"/>
                    <w:right w:val="nil"/>
                  </w:tcBorders>
                  <w:shd w:val="clear" w:color="auto" w:fill="auto"/>
                  <w:noWrap/>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1,17</w:t>
                  </w:r>
                </w:p>
              </w:tc>
              <w:tc>
                <w:tcPr>
                  <w:tcW w:w="953" w:type="dxa"/>
                  <w:tcBorders>
                    <w:top w:val="nil"/>
                    <w:left w:val="nil"/>
                    <w:bottom w:val="nil"/>
                    <w:right w:val="nil"/>
                  </w:tcBorders>
                  <w:shd w:val="clear" w:color="auto" w:fill="auto"/>
                  <w:noWrap/>
                  <w:vAlign w:val="center"/>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5,2</w:t>
                  </w:r>
                </w:p>
              </w:tc>
              <w:tc>
                <w:tcPr>
                  <w:tcW w:w="1155" w:type="dxa"/>
                  <w:tcBorders>
                    <w:top w:val="nil"/>
                    <w:left w:val="nil"/>
                    <w:bottom w:val="nil"/>
                    <w:right w:val="nil"/>
                  </w:tcBorders>
                  <w:shd w:val="clear" w:color="auto" w:fill="auto"/>
                  <w:vAlign w:val="bottom"/>
                  <w:hideMark/>
                </w:tcPr>
                <w:p w:rsidR="00E86BA2" w:rsidRPr="00E86BA2" w:rsidRDefault="00E86BA2" w:rsidP="00E86BA2">
                  <w:pPr>
                    <w:rPr>
                      <w:rFonts w:ascii="Calibri" w:hAnsi="Calibri"/>
                      <w:color w:val="000000"/>
                      <w:sz w:val="22"/>
                      <w:szCs w:val="22"/>
                      <w:lang w:val="en-US" w:eastAsia="da-DK"/>
                    </w:rPr>
                  </w:pPr>
                  <w:r w:rsidRPr="00E86BA2">
                    <w:rPr>
                      <w:rFonts w:ascii="Calibri" w:hAnsi="Calibri"/>
                      <w:color w:val="000000"/>
                      <w:sz w:val="22"/>
                      <w:szCs w:val="22"/>
                      <w:lang w:val="en-US" w:eastAsia="da-DK"/>
                    </w:rPr>
                    <w:t>5 years</w:t>
                  </w:r>
                </w:p>
              </w:tc>
              <w:tc>
                <w:tcPr>
                  <w:tcW w:w="1236" w:type="dxa"/>
                  <w:tcBorders>
                    <w:top w:val="nil"/>
                    <w:left w:val="nil"/>
                    <w:bottom w:val="nil"/>
                    <w:right w:val="nil"/>
                  </w:tcBorders>
                  <w:shd w:val="clear" w:color="auto" w:fill="auto"/>
                  <w:noWrap/>
                  <w:vAlign w:val="bottom"/>
                  <w:hideMark/>
                </w:tcPr>
                <w:p w:rsidR="00E86BA2" w:rsidRPr="00E86BA2" w:rsidRDefault="00E86BA2" w:rsidP="00E86BA2">
                  <w:pPr>
                    <w:jc w:val="right"/>
                    <w:rPr>
                      <w:rFonts w:ascii="Calibri" w:hAnsi="Calibri"/>
                      <w:color w:val="000000"/>
                      <w:sz w:val="22"/>
                      <w:szCs w:val="22"/>
                      <w:lang w:val="en-US" w:eastAsia="da-DK"/>
                    </w:rPr>
                  </w:pPr>
                  <w:r w:rsidRPr="00E86BA2">
                    <w:rPr>
                      <w:rFonts w:ascii="Calibri" w:hAnsi="Calibri"/>
                      <w:color w:val="000000"/>
                      <w:sz w:val="22"/>
                      <w:szCs w:val="22"/>
                      <w:lang w:val="en-US" w:eastAsia="da-DK"/>
                    </w:rPr>
                    <w:t>12,8</w:t>
                  </w:r>
                </w:p>
              </w:tc>
            </w:tr>
            <w:tr w:rsidR="00E86BA2" w:rsidRPr="00E86BA2" w:rsidTr="00E86BA2">
              <w:trPr>
                <w:trHeight w:val="300"/>
              </w:trPr>
              <w:tc>
                <w:tcPr>
                  <w:tcW w:w="2779" w:type="dxa"/>
                  <w:tcBorders>
                    <w:top w:val="nil"/>
                    <w:left w:val="nil"/>
                    <w:bottom w:val="nil"/>
                    <w:right w:val="nil"/>
                  </w:tcBorders>
                  <w:shd w:val="clear" w:color="auto" w:fill="auto"/>
                  <w:noWrap/>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5</w:t>
                  </w:r>
                </w:p>
              </w:tc>
              <w:tc>
                <w:tcPr>
                  <w:tcW w:w="1040" w:type="dxa"/>
                  <w:tcBorders>
                    <w:top w:val="nil"/>
                    <w:left w:val="nil"/>
                    <w:bottom w:val="nil"/>
                    <w:right w:val="nil"/>
                  </w:tcBorders>
                  <w:shd w:val="clear" w:color="auto" w:fill="auto"/>
                  <w:noWrap/>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30,67</w:t>
                  </w:r>
                </w:p>
              </w:tc>
              <w:tc>
                <w:tcPr>
                  <w:tcW w:w="1037" w:type="dxa"/>
                  <w:tcBorders>
                    <w:top w:val="nil"/>
                    <w:left w:val="nil"/>
                    <w:bottom w:val="nil"/>
                    <w:right w:val="nil"/>
                  </w:tcBorders>
                  <w:shd w:val="clear" w:color="auto" w:fill="auto"/>
                  <w:noWrap/>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1,22</w:t>
                  </w:r>
                </w:p>
              </w:tc>
              <w:tc>
                <w:tcPr>
                  <w:tcW w:w="953" w:type="dxa"/>
                  <w:tcBorders>
                    <w:top w:val="nil"/>
                    <w:left w:val="nil"/>
                    <w:bottom w:val="nil"/>
                    <w:right w:val="nil"/>
                  </w:tcBorders>
                  <w:shd w:val="clear" w:color="auto" w:fill="auto"/>
                  <w:noWrap/>
                  <w:vAlign w:val="center"/>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6,6</w:t>
                  </w:r>
                </w:p>
              </w:tc>
              <w:tc>
                <w:tcPr>
                  <w:tcW w:w="1155" w:type="dxa"/>
                  <w:tcBorders>
                    <w:top w:val="nil"/>
                    <w:left w:val="nil"/>
                    <w:bottom w:val="nil"/>
                    <w:right w:val="nil"/>
                  </w:tcBorders>
                  <w:shd w:val="clear" w:color="auto" w:fill="auto"/>
                  <w:vAlign w:val="bottom"/>
                  <w:hideMark/>
                </w:tcPr>
                <w:p w:rsidR="00E86BA2" w:rsidRPr="00E86BA2" w:rsidRDefault="00E86BA2" w:rsidP="00E86BA2">
                  <w:pPr>
                    <w:rPr>
                      <w:rFonts w:ascii="Calibri" w:hAnsi="Calibri"/>
                      <w:color w:val="000000"/>
                      <w:sz w:val="22"/>
                      <w:szCs w:val="22"/>
                      <w:lang w:val="en-US" w:eastAsia="da-DK"/>
                    </w:rPr>
                  </w:pPr>
                  <w:r w:rsidRPr="00E86BA2">
                    <w:rPr>
                      <w:rFonts w:ascii="Calibri" w:hAnsi="Calibri"/>
                      <w:color w:val="000000"/>
                      <w:sz w:val="22"/>
                      <w:szCs w:val="22"/>
                      <w:lang w:val="en-US" w:eastAsia="da-DK"/>
                    </w:rPr>
                    <w:t xml:space="preserve"> 4 years</w:t>
                  </w:r>
                </w:p>
              </w:tc>
              <w:tc>
                <w:tcPr>
                  <w:tcW w:w="1236" w:type="dxa"/>
                  <w:tcBorders>
                    <w:top w:val="nil"/>
                    <w:left w:val="nil"/>
                    <w:bottom w:val="nil"/>
                    <w:right w:val="nil"/>
                  </w:tcBorders>
                  <w:shd w:val="clear" w:color="auto" w:fill="auto"/>
                  <w:noWrap/>
                  <w:vAlign w:val="bottom"/>
                  <w:hideMark/>
                </w:tcPr>
                <w:p w:rsidR="00E86BA2" w:rsidRPr="00E86BA2" w:rsidRDefault="00E86BA2" w:rsidP="00E86BA2">
                  <w:pPr>
                    <w:jc w:val="right"/>
                    <w:rPr>
                      <w:rFonts w:ascii="Calibri" w:hAnsi="Calibri"/>
                      <w:color w:val="000000"/>
                      <w:sz w:val="22"/>
                      <w:szCs w:val="22"/>
                      <w:lang w:val="en-US" w:eastAsia="da-DK"/>
                    </w:rPr>
                  </w:pPr>
                  <w:r w:rsidRPr="00E86BA2">
                    <w:rPr>
                      <w:rFonts w:ascii="Calibri" w:hAnsi="Calibri"/>
                      <w:color w:val="000000"/>
                      <w:sz w:val="22"/>
                      <w:szCs w:val="22"/>
                      <w:lang w:val="en-US" w:eastAsia="da-DK"/>
                    </w:rPr>
                    <w:t>19,4</w:t>
                  </w:r>
                </w:p>
              </w:tc>
            </w:tr>
            <w:tr w:rsidR="00E86BA2" w:rsidRPr="00E86BA2" w:rsidTr="00E86BA2">
              <w:trPr>
                <w:trHeight w:val="300"/>
              </w:trPr>
              <w:tc>
                <w:tcPr>
                  <w:tcW w:w="2779" w:type="dxa"/>
                  <w:tcBorders>
                    <w:top w:val="nil"/>
                    <w:left w:val="nil"/>
                    <w:bottom w:val="nil"/>
                    <w:right w:val="nil"/>
                  </w:tcBorders>
                  <w:shd w:val="clear" w:color="auto" w:fill="auto"/>
                  <w:noWrap/>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6</w:t>
                  </w:r>
                </w:p>
              </w:tc>
              <w:tc>
                <w:tcPr>
                  <w:tcW w:w="1040" w:type="dxa"/>
                  <w:tcBorders>
                    <w:top w:val="nil"/>
                    <w:left w:val="nil"/>
                    <w:bottom w:val="nil"/>
                    <w:right w:val="nil"/>
                  </w:tcBorders>
                  <w:shd w:val="clear" w:color="auto" w:fill="auto"/>
                  <w:noWrap/>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30,67</w:t>
                  </w:r>
                </w:p>
              </w:tc>
              <w:tc>
                <w:tcPr>
                  <w:tcW w:w="1037" w:type="dxa"/>
                  <w:tcBorders>
                    <w:top w:val="nil"/>
                    <w:left w:val="nil"/>
                    <w:bottom w:val="nil"/>
                    <w:right w:val="nil"/>
                  </w:tcBorders>
                  <w:shd w:val="clear" w:color="auto" w:fill="auto"/>
                  <w:noWrap/>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1,27</w:t>
                  </w:r>
                </w:p>
              </w:tc>
              <w:tc>
                <w:tcPr>
                  <w:tcW w:w="953" w:type="dxa"/>
                  <w:tcBorders>
                    <w:top w:val="nil"/>
                    <w:left w:val="nil"/>
                    <w:bottom w:val="nil"/>
                    <w:right w:val="nil"/>
                  </w:tcBorders>
                  <w:shd w:val="clear" w:color="auto" w:fill="auto"/>
                  <w:noWrap/>
                  <w:vAlign w:val="center"/>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8,1</w:t>
                  </w:r>
                </w:p>
              </w:tc>
              <w:tc>
                <w:tcPr>
                  <w:tcW w:w="1155" w:type="dxa"/>
                  <w:tcBorders>
                    <w:top w:val="nil"/>
                    <w:left w:val="nil"/>
                    <w:bottom w:val="nil"/>
                    <w:right w:val="nil"/>
                  </w:tcBorders>
                  <w:shd w:val="clear" w:color="auto" w:fill="auto"/>
                  <w:vAlign w:val="bottom"/>
                  <w:hideMark/>
                </w:tcPr>
                <w:p w:rsidR="00E86BA2" w:rsidRPr="00E86BA2" w:rsidRDefault="00E86BA2" w:rsidP="00E86BA2">
                  <w:pPr>
                    <w:rPr>
                      <w:rFonts w:ascii="Calibri" w:hAnsi="Calibri"/>
                      <w:color w:val="000000"/>
                      <w:sz w:val="22"/>
                      <w:szCs w:val="22"/>
                      <w:lang w:val="en-US" w:eastAsia="da-DK"/>
                    </w:rPr>
                  </w:pPr>
                  <w:r w:rsidRPr="00E86BA2">
                    <w:rPr>
                      <w:rFonts w:ascii="Calibri" w:hAnsi="Calibri"/>
                      <w:color w:val="000000"/>
                      <w:sz w:val="22"/>
                      <w:szCs w:val="22"/>
                      <w:lang w:val="en-US" w:eastAsia="da-DK"/>
                    </w:rPr>
                    <w:t>3 years</w:t>
                  </w:r>
                </w:p>
              </w:tc>
              <w:tc>
                <w:tcPr>
                  <w:tcW w:w="1236" w:type="dxa"/>
                  <w:tcBorders>
                    <w:top w:val="nil"/>
                    <w:left w:val="nil"/>
                    <w:bottom w:val="nil"/>
                    <w:right w:val="nil"/>
                  </w:tcBorders>
                  <w:shd w:val="clear" w:color="auto" w:fill="auto"/>
                  <w:noWrap/>
                  <w:vAlign w:val="bottom"/>
                  <w:hideMark/>
                </w:tcPr>
                <w:p w:rsidR="00E86BA2" w:rsidRPr="00E86BA2" w:rsidRDefault="00E86BA2" w:rsidP="00E86BA2">
                  <w:pPr>
                    <w:jc w:val="right"/>
                    <w:rPr>
                      <w:rFonts w:ascii="Calibri" w:hAnsi="Calibri"/>
                      <w:color w:val="000000"/>
                      <w:sz w:val="22"/>
                      <w:szCs w:val="22"/>
                      <w:lang w:val="en-US" w:eastAsia="da-DK"/>
                    </w:rPr>
                  </w:pPr>
                  <w:r w:rsidRPr="00E86BA2">
                    <w:rPr>
                      <w:rFonts w:ascii="Calibri" w:hAnsi="Calibri"/>
                      <w:color w:val="000000"/>
                      <w:sz w:val="22"/>
                      <w:szCs w:val="22"/>
                      <w:lang w:val="en-US" w:eastAsia="da-DK"/>
                    </w:rPr>
                    <w:t>27,5</w:t>
                  </w:r>
                </w:p>
              </w:tc>
            </w:tr>
            <w:tr w:rsidR="00E86BA2" w:rsidRPr="00E86BA2" w:rsidTr="00E86BA2">
              <w:trPr>
                <w:trHeight w:val="300"/>
              </w:trPr>
              <w:tc>
                <w:tcPr>
                  <w:tcW w:w="2779" w:type="dxa"/>
                  <w:tcBorders>
                    <w:top w:val="nil"/>
                    <w:left w:val="nil"/>
                    <w:bottom w:val="nil"/>
                    <w:right w:val="nil"/>
                  </w:tcBorders>
                  <w:shd w:val="clear" w:color="auto" w:fill="auto"/>
                  <w:noWrap/>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7</w:t>
                  </w:r>
                </w:p>
              </w:tc>
              <w:tc>
                <w:tcPr>
                  <w:tcW w:w="1040" w:type="dxa"/>
                  <w:tcBorders>
                    <w:top w:val="nil"/>
                    <w:left w:val="nil"/>
                    <w:bottom w:val="nil"/>
                    <w:right w:val="nil"/>
                  </w:tcBorders>
                  <w:shd w:val="clear" w:color="auto" w:fill="auto"/>
                  <w:noWrap/>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30,67</w:t>
                  </w:r>
                </w:p>
              </w:tc>
              <w:tc>
                <w:tcPr>
                  <w:tcW w:w="1037" w:type="dxa"/>
                  <w:tcBorders>
                    <w:top w:val="nil"/>
                    <w:left w:val="nil"/>
                    <w:bottom w:val="nil"/>
                    <w:right w:val="nil"/>
                  </w:tcBorders>
                  <w:shd w:val="clear" w:color="auto" w:fill="auto"/>
                  <w:noWrap/>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1,32</w:t>
                  </w:r>
                </w:p>
              </w:tc>
              <w:tc>
                <w:tcPr>
                  <w:tcW w:w="953" w:type="dxa"/>
                  <w:tcBorders>
                    <w:top w:val="nil"/>
                    <w:left w:val="nil"/>
                    <w:bottom w:val="nil"/>
                    <w:right w:val="nil"/>
                  </w:tcBorders>
                  <w:shd w:val="clear" w:color="auto" w:fill="auto"/>
                  <w:noWrap/>
                  <w:vAlign w:val="center"/>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9,7</w:t>
                  </w:r>
                </w:p>
              </w:tc>
              <w:tc>
                <w:tcPr>
                  <w:tcW w:w="1155" w:type="dxa"/>
                  <w:tcBorders>
                    <w:top w:val="nil"/>
                    <w:left w:val="nil"/>
                    <w:bottom w:val="nil"/>
                    <w:right w:val="nil"/>
                  </w:tcBorders>
                  <w:shd w:val="clear" w:color="auto" w:fill="auto"/>
                  <w:vAlign w:val="bottom"/>
                  <w:hideMark/>
                </w:tcPr>
                <w:p w:rsidR="00E86BA2" w:rsidRPr="00E86BA2" w:rsidRDefault="00E86BA2" w:rsidP="00E86BA2">
                  <w:pPr>
                    <w:rPr>
                      <w:rFonts w:ascii="Calibri" w:hAnsi="Calibri"/>
                      <w:color w:val="000000"/>
                      <w:sz w:val="22"/>
                      <w:szCs w:val="22"/>
                      <w:lang w:val="en-US" w:eastAsia="da-DK"/>
                    </w:rPr>
                  </w:pPr>
                  <w:r w:rsidRPr="00E86BA2">
                    <w:rPr>
                      <w:rFonts w:ascii="Calibri" w:hAnsi="Calibri"/>
                      <w:color w:val="000000"/>
                      <w:sz w:val="22"/>
                      <w:szCs w:val="22"/>
                      <w:lang w:val="en-US" w:eastAsia="da-DK"/>
                    </w:rPr>
                    <w:t>2 years</w:t>
                  </w:r>
                </w:p>
              </w:tc>
              <w:tc>
                <w:tcPr>
                  <w:tcW w:w="1236" w:type="dxa"/>
                  <w:tcBorders>
                    <w:top w:val="nil"/>
                    <w:left w:val="nil"/>
                    <w:bottom w:val="nil"/>
                    <w:right w:val="nil"/>
                  </w:tcBorders>
                  <w:shd w:val="clear" w:color="auto" w:fill="auto"/>
                  <w:noWrap/>
                  <w:vAlign w:val="bottom"/>
                  <w:hideMark/>
                </w:tcPr>
                <w:p w:rsidR="00E86BA2" w:rsidRPr="00E86BA2" w:rsidRDefault="00E86BA2" w:rsidP="00E86BA2">
                  <w:pPr>
                    <w:jc w:val="right"/>
                    <w:rPr>
                      <w:rFonts w:ascii="Calibri" w:hAnsi="Calibri"/>
                      <w:color w:val="000000"/>
                      <w:sz w:val="22"/>
                      <w:szCs w:val="22"/>
                      <w:lang w:val="en-US" w:eastAsia="da-DK"/>
                    </w:rPr>
                  </w:pPr>
                  <w:r w:rsidRPr="00E86BA2">
                    <w:rPr>
                      <w:rFonts w:ascii="Calibri" w:hAnsi="Calibri"/>
                      <w:color w:val="000000"/>
                      <w:sz w:val="22"/>
                      <w:szCs w:val="22"/>
                      <w:lang w:val="en-US" w:eastAsia="da-DK"/>
                    </w:rPr>
                    <w:t>37,2</w:t>
                  </w:r>
                </w:p>
              </w:tc>
            </w:tr>
            <w:tr w:rsidR="00E86BA2" w:rsidRPr="00E86BA2" w:rsidTr="00E86BA2">
              <w:trPr>
                <w:trHeight w:val="300"/>
              </w:trPr>
              <w:tc>
                <w:tcPr>
                  <w:tcW w:w="2779" w:type="dxa"/>
                  <w:tcBorders>
                    <w:top w:val="nil"/>
                    <w:left w:val="nil"/>
                    <w:bottom w:val="nil"/>
                    <w:right w:val="nil"/>
                  </w:tcBorders>
                  <w:shd w:val="clear" w:color="auto" w:fill="auto"/>
                  <w:noWrap/>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8</w:t>
                  </w:r>
                </w:p>
              </w:tc>
              <w:tc>
                <w:tcPr>
                  <w:tcW w:w="1040" w:type="dxa"/>
                  <w:tcBorders>
                    <w:top w:val="nil"/>
                    <w:left w:val="nil"/>
                    <w:bottom w:val="nil"/>
                    <w:right w:val="nil"/>
                  </w:tcBorders>
                  <w:shd w:val="clear" w:color="auto" w:fill="auto"/>
                  <w:noWrap/>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30,67</w:t>
                  </w:r>
                </w:p>
              </w:tc>
              <w:tc>
                <w:tcPr>
                  <w:tcW w:w="1037" w:type="dxa"/>
                  <w:tcBorders>
                    <w:top w:val="nil"/>
                    <w:left w:val="nil"/>
                    <w:bottom w:val="nil"/>
                    <w:right w:val="nil"/>
                  </w:tcBorders>
                  <w:shd w:val="clear" w:color="auto" w:fill="auto"/>
                  <w:noWrap/>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1,37</w:t>
                  </w:r>
                </w:p>
              </w:tc>
              <w:tc>
                <w:tcPr>
                  <w:tcW w:w="953" w:type="dxa"/>
                  <w:tcBorders>
                    <w:top w:val="nil"/>
                    <w:left w:val="nil"/>
                    <w:bottom w:val="nil"/>
                    <w:right w:val="nil"/>
                  </w:tcBorders>
                  <w:shd w:val="clear" w:color="auto" w:fill="auto"/>
                  <w:noWrap/>
                  <w:vAlign w:val="center"/>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11,3</w:t>
                  </w:r>
                </w:p>
              </w:tc>
              <w:tc>
                <w:tcPr>
                  <w:tcW w:w="1155" w:type="dxa"/>
                  <w:tcBorders>
                    <w:top w:val="nil"/>
                    <w:left w:val="nil"/>
                    <w:bottom w:val="nil"/>
                    <w:right w:val="nil"/>
                  </w:tcBorders>
                  <w:shd w:val="clear" w:color="auto" w:fill="auto"/>
                  <w:vAlign w:val="bottom"/>
                  <w:hideMark/>
                </w:tcPr>
                <w:p w:rsidR="00E86BA2" w:rsidRPr="00E86BA2" w:rsidRDefault="00E86BA2" w:rsidP="00E86BA2">
                  <w:pPr>
                    <w:rPr>
                      <w:rFonts w:ascii="Calibri" w:hAnsi="Calibri"/>
                      <w:color w:val="000000"/>
                      <w:sz w:val="22"/>
                      <w:szCs w:val="22"/>
                      <w:lang w:val="en-US" w:eastAsia="da-DK"/>
                    </w:rPr>
                  </w:pPr>
                  <w:r w:rsidRPr="00E86BA2">
                    <w:rPr>
                      <w:rFonts w:ascii="Calibri" w:hAnsi="Calibri"/>
                      <w:color w:val="000000"/>
                      <w:sz w:val="22"/>
                      <w:szCs w:val="22"/>
                      <w:lang w:val="en-US" w:eastAsia="da-DK"/>
                    </w:rPr>
                    <w:t>1 year</w:t>
                  </w:r>
                </w:p>
              </w:tc>
              <w:tc>
                <w:tcPr>
                  <w:tcW w:w="1236" w:type="dxa"/>
                  <w:tcBorders>
                    <w:top w:val="nil"/>
                    <w:left w:val="nil"/>
                    <w:bottom w:val="nil"/>
                    <w:right w:val="nil"/>
                  </w:tcBorders>
                  <w:shd w:val="clear" w:color="auto" w:fill="auto"/>
                  <w:noWrap/>
                  <w:vAlign w:val="bottom"/>
                  <w:hideMark/>
                </w:tcPr>
                <w:p w:rsidR="00E86BA2" w:rsidRPr="00E86BA2" w:rsidRDefault="00E86BA2" w:rsidP="00E86BA2">
                  <w:pPr>
                    <w:jc w:val="right"/>
                    <w:rPr>
                      <w:rFonts w:ascii="Calibri" w:hAnsi="Calibri"/>
                      <w:color w:val="000000"/>
                      <w:sz w:val="22"/>
                      <w:szCs w:val="22"/>
                      <w:lang w:val="en-US" w:eastAsia="da-DK"/>
                    </w:rPr>
                  </w:pPr>
                  <w:r w:rsidRPr="00E86BA2">
                    <w:rPr>
                      <w:rFonts w:ascii="Calibri" w:hAnsi="Calibri"/>
                      <w:color w:val="000000"/>
                      <w:sz w:val="22"/>
                      <w:szCs w:val="22"/>
                      <w:lang w:val="en-US" w:eastAsia="da-DK"/>
                    </w:rPr>
                    <w:t>48,5</w:t>
                  </w:r>
                </w:p>
              </w:tc>
            </w:tr>
            <w:tr w:rsidR="00E86BA2" w:rsidRPr="00E86BA2" w:rsidTr="00E86BA2">
              <w:trPr>
                <w:trHeight w:val="300"/>
              </w:trPr>
              <w:tc>
                <w:tcPr>
                  <w:tcW w:w="2779" w:type="dxa"/>
                  <w:tcBorders>
                    <w:top w:val="nil"/>
                    <w:left w:val="nil"/>
                    <w:bottom w:val="nil"/>
                    <w:right w:val="nil"/>
                  </w:tcBorders>
                  <w:shd w:val="clear" w:color="auto" w:fill="auto"/>
                  <w:noWrap/>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9</w:t>
                  </w:r>
                </w:p>
              </w:tc>
              <w:tc>
                <w:tcPr>
                  <w:tcW w:w="1040" w:type="dxa"/>
                  <w:tcBorders>
                    <w:top w:val="nil"/>
                    <w:left w:val="nil"/>
                    <w:bottom w:val="nil"/>
                    <w:right w:val="nil"/>
                  </w:tcBorders>
                  <w:shd w:val="clear" w:color="auto" w:fill="auto"/>
                  <w:noWrap/>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30,67</w:t>
                  </w:r>
                </w:p>
              </w:tc>
              <w:tc>
                <w:tcPr>
                  <w:tcW w:w="1037" w:type="dxa"/>
                  <w:tcBorders>
                    <w:top w:val="nil"/>
                    <w:left w:val="nil"/>
                    <w:bottom w:val="nil"/>
                    <w:right w:val="nil"/>
                  </w:tcBorders>
                  <w:shd w:val="clear" w:color="auto" w:fill="auto"/>
                  <w:noWrap/>
                  <w:vAlign w:val="bottom"/>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1,42</w:t>
                  </w:r>
                </w:p>
              </w:tc>
              <w:tc>
                <w:tcPr>
                  <w:tcW w:w="953" w:type="dxa"/>
                  <w:tcBorders>
                    <w:top w:val="nil"/>
                    <w:left w:val="nil"/>
                    <w:bottom w:val="nil"/>
                    <w:right w:val="nil"/>
                  </w:tcBorders>
                  <w:shd w:val="clear" w:color="auto" w:fill="auto"/>
                  <w:noWrap/>
                  <w:vAlign w:val="center"/>
                  <w:hideMark/>
                </w:tcPr>
                <w:p w:rsidR="00E86BA2" w:rsidRPr="00E86BA2" w:rsidRDefault="00E86BA2" w:rsidP="00E86BA2">
                  <w:pPr>
                    <w:jc w:val="center"/>
                    <w:rPr>
                      <w:rFonts w:ascii="Calibri" w:hAnsi="Calibri"/>
                      <w:color w:val="000000"/>
                      <w:sz w:val="22"/>
                      <w:szCs w:val="22"/>
                      <w:lang w:val="en-US" w:eastAsia="da-DK"/>
                    </w:rPr>
                  </w:pPr>
                  <w:r w:rsidRPr="00E86BA2">
                    <w:rPr>
                      <w:rFonts w:ascii="Calibri" w:hAnsi="Calibri"/>
                      <w:color w:val="000000"/>
                      <w:sz w:val="22"/>
                      <w:szCs w:val="22"/>
                      <w:lang w:val="en-US" w:eastAsia="da-DK"/>
                    </w:rPr>
                    <w:t>13,0</w:t>
                  </w:r>
                </w:p>
              </w:tc>
              <w:tc>
                <w:tcPr>
                  <w:tcW w:w="1155" w:type="dxa"/>
                  <w:tcBorders>
                    <w:top w:val="nil"/>
                    <w:left w:val="nil"/>
                    <w:bottom w:val="nil"/>
                    <w:right w:val="nil"/>
                  </w:tcBorders>
                  <w:shd w:val="clear" w:color="auto" w:fill="auto"/>
                  <w:vAlign w:val="bottom"/>
                  <w:hideMark/>
                </w:tcPr>
                <w:p w:rsidR="00E86BA2" w:rsidRPr="00E86BA2" w:rsidRDefault="00E86BA2" w:rsidP="00E86BA2">
                  <w:pPr>
                    <w:rPr>
                      <w:rFonts w:ascii="Calibri" w:hAnsi="Calibri"/>
                      <w:color w:val="000000"/>
                      <w:sz w:val="22"/>
                      <w:szCs w:val="22"/>
                      <w:lang w:val="en-US" w:eastAsia="da-DK"/>
                    </w:rPr>
                  </w:pPr>
                </w:p>
              </w:tc>
              <w:tc>
                <w:tcPr>
                  <w:tcW w:w="1236" w:type="dxa"/>
                  <w:tcBorders>
                    <w:top w:val="nil"/>
                    <w:left w:val="nil"/>
                    <w:bottom w:val="nil"/>
                    <w:right w:val="nil"/>
                  </w:tcBorders>
                  <w:shd w:val="clear" w:color="000000" w:fill="FFFF00"/>
                  <w:noWrap/>
                  <w:vAlign w:val="bottom"/>
                  <w:hideMark/>
                </w:tcPr>
                <w:p w:rsidR="00E86BA2" w:rsidRPr="00E86BA2" w:rsidRDefault="00E86BA2" w:rsidP="00E86BA2">
                  <w:pPr>
                    <w:jc w:val="right"/>
                    <w:rPr>
                      <w:rFonts w:ascii="Calibri" w:hAnsi="Calibri"/>
                      <w:color w:val="000000"/>
                      <w:sz w:val="22"/>
                      <w:szCs w:val="22"/>
                      <w:lang w:val="en-US" w:eastAsia="da-DK"/>
                    </w:rPr>
                  </w:pPr>
                  <w:r w:rsidRPr="00E86BA2">
                    <w:rPr>
                      <w:rFonts w:ascii="Calibri" w:hAnsi="Calibri"/>
                      <w:color w:val="000000"/>
                      <w:sz w:val="22"/>
                      <w:szCs w:val="22"/>
                      <w:lang w:val="en-US" w:eastAsia="da-DK"/>
                    </w:rPr>
                    <w:t>61,5</w:t>
                  </w:r>
                </w:p>
              </w:tc>
            </w:tr>
          </w:tbl>
          <w:p w:rsidR="00E86BA2" w:rsidRDefault="00E86BA2" w:rsidP="001F4FCE">
            <w:pPr>
              <w:rPr>
                <w:rFonts w:ascii="Verdana" w:hAnsi="Verdana"/>
                <w:sz w:val="20"/>
                <w:szCs w:val="20"/>
              </w:rPr>
            </w:pPr>
          </w:p>
          <w:p w:rsidR="00E86BA2" w:rsidRPr="00E86BA2" w:rsidRDefault="00E86BA2" w:rsidP="001F4FCE">
            <w:pPr>
              <w:rPr>
                <w:rFonts w:ascii="Verdana" w:hAnsi="Verdana"/>
                <w:sz w:val="20"/>
                <w:szCs w:val="20"/>
              </w:rPr>
            </w:pPr>
            <w:r>
              <w:rPr>
                <w:rFonts w:ascii="Verdana" w:hAnsi="Verdana"/>
                <w:sz w:val="20"/>
                <w:szCs w:val="20"/>
              </w:rPr>
              <w:t xml:space="preserve"> </w:t>
            </w:r>
          </w:p>
          <w:p w:rsidR="00B93378" w:rsidRDefault="00B93378" w:rsidP="001F4FCE">
            <w:pPr>
              <w:rPr>
                <w:rFonts w:ascii="Verdana" w:hAnsi="Verdana"/>
                <w:sz w:val="20"/>
                <w:szCs w:val="20"/>
              </w:rPr>
            </w:pPr>
            <w:r>
              <w:rPr>
                <w:rFonts w:ascii="Verdana" w:hAnsi="Verdana"/>
                <w:sz w:val="20"/>
                <w:szCs w:val="20"/>
              </w:rPr>
              <w:t>We think the opportunity cost approach is valid for the socio</w:t>
            </w:r>
            <w:r w:rsidR="00432041">
              <w:rPr>
                <w:rFonts w:ascii="Verdana" w:hAnsi="Verdana"/>
                <w:sz w:val="20"/>
                <w:szCs w:val="20"/>
              </w:rPr>
              <w:t>-</w:t>
            </w:r>
            <w:r>
              <w:rPr>
                <w:rFonts w:ascii="Verdana" w:hAnsi="Verdana"/>
                <w:sz w:val="20"/>
                <w:szCs w:val="20"/>
              </w:rPr>
              <w:t>economic view as it also reflects that the new lines will last 30 years.</w:t>
            </w:r>
          </w:p>
          <w:p w:rsidR="00B93378" w:rsidRDefault="00B93378" w:rsidP="001F4FCE">
            <w:pPr>
              <w:rPr>
                <w:rFonts w:ascii="Verdana" w:hAnsi="Verdana"/>
                <w:sz w:val="20"/>
                <w:szCs w:val="20"/>
              </w:rPr>
            </w:pPr>
            <w:r>
              <w:rPr>
                <w:rFonts w:ascii="Verdana" w:hAnsi="Verdana"/>
                <w:sz w:val="20"/>
                <w:szCs w:val="20"/>
              </w:rPr>
              <w:t>However, we acknowledge that for the individual companies, the financial costs might imply difficulties in the case where profit margin is very low or negative.</w:t>
            </w:r>
          </w:p>
          <w:p w:rsidR="00EF734B" w:rsidRDefault="00EF734B" w:rsidP="001F4FCE">
            <w:pPr>
              <w:rPr>
                <w:rFonts w:ascii="Verdana" w:hAnsi="Verdana"/>
                <w:sz w:val="20"/>
                <w:szCs w:val="20"/>
              </w:rPr>
            </w:pPr>
          </w:p>
          <w:p w:rsidR="00EF734B" w:rsidRDefault="00EF734B" w:rsidP="001F4FCE">
            <w:pPr>
              <w:rPr>
                <w:rFonts w:ascii="Verdana" w:hAnsi="Verdana"/>
                <w:sz w:val="20"/>
                <w:szCs w:val="20"/>
              </w:rPr>
            </w:pPr>
          </w:p>
          <w:p w:rsidR="006C2A52" w:rsidRDefault="00B93378" w:rsidP="001F4FCE">
            <w:pPr>
              <w:rPr>
                <w:rFonts w:ascii="Verdana" w:hAnsi="Verdana"/>
                <w:sz w:val="20"/>
                <w:szCs w:val="20"/>
              </w:rPr>
            </w:pPr>
            <w:r>
              <w:rPr>
                <w:rFonts w:ascii="Verdana" w:hAnsi="Verdana"/>
                <w:sz w:val="20"/>
                <w:szCs w:val="20"/>
              </w:rPr>
              <w:t>The comparison with the turnover</w:t>
            </w:r>
            <w:r w:rsidR="00404833">
              <w:rPr>
                <w:rFonts w:ascii="Verdana" w:hAnsi="Verdana"/>
                <w:sz w:val="20"/>
                <w:szCs w:val="20"/>
              </w:rPr>
              <w:t xml:space="preserve"> </w:t>
            </w:r>
            <w:r>
              <w:rPr>
                <w:rFonts w:ascii="Verdana" w:hAnsi="Verdana"/>
                <w:sz w:val="20"/>
                <w:szCs w:val="20"/>
              </w:rPr>
              <w:t>gives some indications of the scale of the challenge.</w:t>
            </w:r>
            <w:r w:rsidR="006C2A52">
              <w:rPr>
                <w:rFonts w:ascii="Verdana" w:hAnsi="Verdana"/>
                <w:sz w:val="20"/>
                <w:szCs w:val="20"/>
              </w:rPr>
              <w:t xml:space="preserve"> In the final opinion, it is mentioned that a large part of the turno</w:t>
            </w:r>
            <w:r w:rsidR="00180588">
              <w:rPr>
                <w:rFonts w:ascii="Verdana" w:hAnsi="Verdana"/>
                <w:sz w:val="20"/>
                <w:szCs w:val="20"/>
              </w:rPr>
              <w:t>ver is directly linked to the co</w:t>
            </w:r>
            <w:r w:rsidR="006C2A52">
              <w:rPr>
                <w:rFonts w:ascii="Verdana" w:hAnsi="Verdana"/>
                <w:sz w:val="20"/>
                <w:szCs w:val="20"/>
              </w:rPr>
              <w:t xml:space="preserve">pper price and that the metal value constitute 80% of the turnover (which is a turnover anyway to be financed). In the final opinion, the opportunity costs are compared with the total discounted production value for 15 years, showing a OC/PV ratio around 1%. </w:t>
            </w:r>
          </w:p>
          <w:p w:rsidR="00723441" w:rsidRDefault="00723441" w:rsidP="001F4FCE">
            <w:pPr>
              <w:rPr>
                <w:rFonts w:ascii="Verdana" w:hAnsi="Verdana"/>
                <w:sz w:val="20"/>
                <w:szCs w:val="20"/>
              </w:rPr>
            </w:pPr>
          </w:p>
          <w:p w:rsidR="00723441" w:rsidRDefault="00723441" w:rsidP="001F4FCE">
            <w:pPr>
              <w:rPr>
                <w:rFonts w:ascii="Verdana" w:hAnsi="Verdana"/>
                <w:sz w:val="20"/>
                <w:szCs w:val="20"/>
              </w:rPr>
            </w:pPr>
            <w:r>
              <w:rPr>
                <w:rFonts w:ascii="Verdana" w:hAnsi="Verdana"/>
                <w:sz w:val="20"/>
                <w:szCs w:val="20"/>
              </w:rPr>
              <w:t>However, due to the uncertainty with regard to the economic feasibility SEAC considers that for us in wire coating lines it might be justified to prolong the transition time for implementation of risk reduction measures needed.</w:t>
            </w:r>
          </w:p>
          <w:p w:rsidR="006C2A52" w:rsidRDefault="006C2A52" w:rsidP="001F4FCE">
            <w:pPr>
              <w:rPr>
                <w:rFonts w:ascii="Verdana" w:hAnsi="Verdana"/>
                <w:sz w:val="20"/>
                <w:szCs w:val="20"/>
              </w:rPr>
            </w:pPr>
          </w:p>
          <w:p w:rsidR="002E46E2" w:rsidRDefault="002E46E2" w:rsidP="001F4FCE">
            <w:pPr>
              <w:rPr>
                <w:rFonts w:ascii="Verdana" w:hAnsi="Verdana"/>
                <w:sz w:val="20"/>
                <w:szCs w:val="20"/>
              </w:rPr>
            </w:pPr>
            <w:r>
              <w:rPr>
                <w:rFonts w:ascii="Verdana" w:hAnsi="Verdana"/>
                <w:sz w:val="20"/>
                <w:szCs w:val="20"/>
              </w:rPr>
              <w:t>In the BD the concept of opportunity cost is described</w:t>
            </w:r>
            <w:r w:rsidR="00575A66">
              <w:rPr>
                <w:rFonts w:ascii="Verdana" w:hAnsi="Verdana"/>
                <w:sz w:val="20"/>
                <w:szCs w:val="20"/>
              </w:rPr>
              <w:t>.</w:t>
            </w:r>
          </w:p>
          <w:p w:rsidR="00404833" w:rsidRPr="00AF6E2D" w:rsidRDefault="00404833" w:rsidP="001F4FCE">
            <w:pPr>
              <w:rPr>
                <w:rFonts w:ascii="Verdana" w:hAnsi="Verdana"/>
                <w:sz w:val="20"/>
                <w:szCs w:val="20"/>
              </w:rPr>
            </w:pPr>
          </w:p>
        </w:tc>
      </w:tr>
      <w:tr w:rsidR="00AF6E2D" w:rsidRPr="00AF6E2D" w:rsidTr="00452DEB">
        <w:tc>
          <w:tcPr>
            <w:tcW w:w="817" w:type="dxa"/>
            <w:vMerge w:val="restart"/>
          </w:tcPr>
          <w:p w:rsidR="00AF6E2D" w:rsidRPr="00AF6E2D" w:rsidRDefault="00AF6E2D" w:rsidP="001F4FCE">
            <w:pPr>
              <w:rPr>
                <w:rFonts w:ascii="Verdana" w:hAnsi="Verdana"/>
                <w:sz w:val="20"/>
                <w:szCs w:val="20"/>
              </w:rPr>
            </w:pPr>
            <w:r w:rsidRPr="00AF6E2D">
              <w:rPr>
                <w:rFonts w:ascii="Verdana" w:hAnsi="Verdana"/>
                <w:noProof/>
                <w:sz w:val="20"/>
                <w:szCs w:val="20"/>
              </w:rPr>
              <w:lastRenderedPageBreak/>
              <w:t>122</w:t>
            </w:r>
          </w:p>
        </w:tc>
        <w:tc>
          <w:tcPr>
            <w:tcW w:w="2693" w:type="dxa"/>
            <w:vMerge w:val="restart"/>
          </w:tcPr>
          <w:p w:rsidR="00AF6E2D" w:rsidRPr="00AF6E2D" w:rsidRDefault="00AF6E2D" w:rsidP="001F4FCE">
            <w:pPr>
              <w:rPr>
                <w:rFonts w:ascii="Verdana" w:hAnsi="Verdana"/>
                <w:sz w:val="20"/>
                <w:szCs w:val="20"/>
              </w:rPr>
            </w:pPr>
            <w:r w:rsidRPr="00AF6E2D">
              <w:rPr>
                <w:rFonts w:ascii="Verdana" w:hAnsi="Verdana"/>
                <w:b/>
                <w:sz w:val="20"/>
                <w:szCs w:val="20"/>
              </w:rPr>
              <w:t>Date/Time:</w:t>
            </w:r>
            <w:r w:rsidRPr="00AF6E2D">
              <w:rPr>
                <w:rFonts w:ascii="Verdana" w:hAnsi="Verdana"/>
                <w:sz w:val="20"/>
                <w:szCs w:val="20"/>
              </w:rPr>
              <w:t xml:space="preserve"> </w:t>
            </w:r>
            <w:r w:rsidRPr="00AF6E2D">
              <w:rPr>
                <w:rFonts w:ascii="Verdana" w:hAnsi="Verdana"/>
                <w:noProof/>
                <w:sz w:val="20"/>
                <w:szCs w:val="20"/>
              </w:rPr>
              <w:t>2014/11/14 10:09</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r w:rsidRPr="00AF6E2D">
              <w:rPr>
                <w:rFonts w:ascii="Verdana" w:hAnsi="Verdana"/>
                <w:b/>
                <w:sz w:val="20"/>
                <w:szCs w:val="20"/>
              </w:rPr>
              <w:t>Type:</w:t>
            </w:r>
            <w:r w:rsidRPr="00AF6E2D">
              <w:rPr>
                <w:rFonts w:ascii="Verdana" w:hAnsi="Verdana"/>
                <w:sz w:val="20"/>
                <w:szCs w:val="20"/>
              </w:rPr>
              <w:t xml:space="preserve"> </w:t>
            </w:r>
            <w:r w:rsidRPr="00AF6E2D">
              <w:rPr>
                <w:rFonts w:ascii="Verdana" w:hAnsi="Verdana"/>
                <w:noProof/>
                <w:sz w:val="20"/>
                <w:szCs w:val="20"/>
              </w:rPr>
              <w:t>Company-Manufacturer</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noProof/>
                <w:sz w:val="20"/>
                <w:szCs w:val="20"/>
              </w:rPr>
            </w:pPr>
            <w:r w:rsidRPr="00AF6E2D">
              <w:rPr>
                <w:rFonts w:ascii="Verdana" w:hAnsi="Verdana"/>
                <w:b/>
                <w:sz w:val="20"/>
                <w:szCs w:val="20"/>
              </w:rPr>
              <w:t xml:space="preserve">Country: </w:t>
            </w:r>
            <w:r w:rsidRPr="00AF6E2D">
              <w:rPr>
                <w:rFonts w:ascii="Verdana" w:hAnsi="Verdana"/>
                <w:noProof/>
                <w:sz w:val="20"/>
                <w:szCs w:val="20"/>
              </w:rPr>
              <w:t>France</w:t>
            </w:r>
          </w:p>
          <w:p w:rsidR="00AF6E2D" w:rsidRPr="00AF6E2D" w:rsidRDefault="00AF6E2D" w:rsidP="001F4FCE">
            <w:pPr>
              <w:rPr>
                <w:rFonts w:ascii="Verdana" w:hAnsi="Verdana"/>
                <w:noProof/>
                <w:sz w:val="20"/>
                <w:szCs w:val="20"/>
              </w:rPr>
            </w:pPr>
          </w:p>
          <w:p w:rsidR="00AF6E2D" w:rsidRPr="00AF6E2D" w:rsidRDefault="00AF6E2D" w:rsidP="001F4FCE">
            <w:pPr>
              <w:rPr>
                <w:rFonts w:ascii="Verdana" w:hAnsi="Verdana"/>
                <w:sz w:val="20"/>
                <w:szCs w:val="20"/>
              </w:rPr>
            </w:pPr>
            <w:r w:rsidRPr="00AF6E2D">
              <w:rPr>
                <w:rFonts w:ascii="Verdana" w:hAnsi="Verdana"/>
                <w:b/>
                <w:noProof/>
                <w:sz w:val="20"/>
                <w:szCs w:val="20"/>
              </w:rPr>
              <w:t xml:space="preserve">Name confidential: </w:t>
            </w:r>
            <w:r w:rsidRPr="00AF6E2D">
              <w:rPr>
                <w:rFonts w:ascii="Verdana" w:hAnsi="Verdana"/>
                <w:noProof/>
                <w:sz w:val="20"/>
                <w:szCs w:val="20"/>
              </w:rPr>
              <w:t>False</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p>
        </w:tc>
        <w:tc>
          <w:tcPr>
            <w:tcW w:w="10632" w:type="dxa"/>
            <w:gridSpan w:val="2"/>
          </w:tcPr>
          <w:p w:rsidR="00AF6E2D" w:rsidRPr="00AF6E2D" w:rsidRDefault="00AF6E2D" w:rsidP="001F4FCE">
            <w:pPr>
              <w:rPr>
                <w:rFonts w:ascii="Verdana" w:hAnsi="Verdana"/>
                <w:b/>
                <w:sz w:val="20"/>
                <w:szCs w:val="20"/>
              </w:rPr>
            </w:pPr>
            <w:r w:rsidRPr="00AF6E2D">
              <w:rPr>
                <w:rFonts w:ascii="Verdana" w:hAnsi="Verdana"/>
                <w:b/>
                <w:sz w:val="20"/>
                <w:szCs w:val="20"/>
              </w:rPr>
              <w:t>Comment:</w:t>
            </w:r>
          </w:p>
          <w:p w:rsidR="00AF6E2D" w:rsidRPr="00AF6E2D" w:rsidRDefault="00AF6E2D" w:rsidP="001F4FCE">
            <w:pPr>
              <w:rPr>
                <w:rFonts w:ascii="Verdana" w:hAnsi="Verdana"/>
                <w:noProof/>
                <w:sz w:val="20"/>
                <w:szCs w:val="20"/>
              </w:rPr>
            </w:pPr>
            <w:r w:rsidRPr="00AF6E2D">
              <w:rPr>
                <w:rFonts w:ascii="Verdana" w:hAnsi="Verdana"/>
                <w:noProof/>
                <w:sz w:val="20"/>
                <w:szCs w:val="20"/>
              </w:rPr>
              <w:t>Public Comments submitted by Arkema France, on behalf of the DMSO Consortium, in the frame of the Public Consultation on the Background document to the RAC and SEAC Opinion on the Annex XV dossier proposing restrictions on 1-methyl–2–pyrrolidone (NMP)</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DMSO Consortium would like to submit comments on some of the statements contained in this document. The members of the Consortium are: </w:t>
            </w:r>
          </w:p>
          <w:p w:rsidR="00AF6E2D" w:rsidRPr="00AF6E2D" w:rsidRDefault="00AF6E2D" w:rsidP="001F4FCE">
            <w:pPr>
              <w:rPr>
                <w:rFonts w:ascii="Verdana" w:hAnsi="Verdana"/>
                <w:noProof/>
                <w:sz w:val="20"/>
                <w:szCs w:val="20"/>
              </w:rPr>
            </w:pPr>
            <w:r w:rsidRPr="00AF6E2D">
              <w:rPr>
                <w:rFonts w:ascii="Verdana" w:hAnsi="Verdana"/>
                <w:noProof/>
                <w:sz w:val="20"/>
                <w:szCs w:val="20"/>
              </w:rPr>
              <w:t>•</w:t>
            </w:r>
            <w:r w:rsidRPr="00AF6E2D">
              <w:rPr>
                <w:rFonts w:ascii="Verdana" w:hAnsi="Verdana"/>
                <w:noProof/>
                <w:sz w:val="20"/>
                <w:szCs w:val="20"/>
              </w:rPr>
              <w:tab/>
              <w:t xml:space="preserve">Arkema France, manufacturer of DMSO in Europe. </w:t>
            </w:r>
          </w:p>
          <w:p w:rsidR="00AF6E2D" w:rsidRPr="00AF6E2D" w:rsidRDefault="00AF6E2D" w:rsidP="001F4FCE">
            <w:pPr>
              <w:rPr>
                <w:rFonts w:ascii="Verdana" w:hAnsi="Verdana"/>
                <w:noProof/>
                <w:sz w:val="20"/>
                <w:szCs w:val="20"/>
              </w:rPr>
            </w:pPr>
            <w:r w:rsidRPr="00AF6E2D">
              <w:rPr>
                <w:rFonts w:ascii="Verdana" w:hAnsi="Verdana"/>
                <w:noProof/>
                <w:sz w:val="20"/>
                <w:szCs w:val="20"/>
              </w:rPr>
              <w:t>•</w:t>
            </w:r>
            <w:r w:rsidRPr="00AF6E2D">
              <w:rPr>
                <w:rFonts w:ascii="Verdana" w:hAnsi="Verdana"/>
                <w:noProof/>
                <w:sz w:val="20"/>
                <w:szCs w:val="20"/>
              </w:rPr>
              <w:tab/>
              <w:t>Gaylord Chemical Company, L.L.C. manufacturer of DMSO in USA.</w:t>
            </w:r>
          </w:p>
          <w:p w:rsidR="00AF6E2D" w:rsidRPr="00AF6E2D" w:rsidRDefault="00AF6E2D" w:rsidP="001F4FCE">
            <w:pPr>
              <w:rPr>
                <w:rFonts w:ascii="Verdana" w:hAnsi="Verdana"/>
                <w:noProof/>
                <w:sz w:val="20"/>
                <w:szCs w:val="20"/>
              </w:rPr>
            </w:pPr>
            <w:r w:rsidRPr="00AF6E2D">
              <w:rPr>
                <w:rFonts w:ascii="Verdana" w:hAnsi="Verdana"/>
                <w:noProof/>
                <w:sz w:val="20"/>
                <w:szCs w:val="20"/>
              </w:rPr>
              <w:t>•</w:t>
            </w:r>
            <w:r w:rsidRPr="00AF6E2D">
              <w:rPr>
                <w:rFonts w:ascii="Verdana" w:hAnsi="Verdana"/>
                <w:noProof/>
                <w:sz w:val="20"/>
                <w:szCs w:val="20"/>
              </w:rPr>
              <w:tab/>
              <w:t>Toray Fine Chemicals Co., Ltd. manufacturer of DMSO in Japan and China.</w:t>
            </w:r>
          </w:p>
          <w:p w:rsidR="00AF6E2D" w:rsidRPr="00AF6E2D" w:rsidRDefault="00AF6E2D" w:rsidP="001F4FCE">
            <w:pPr>
              <w:rPr>
                <w:rFonts w:ascii="Verdana" w:hAnsi="Verdana"/>
                <w:noProof/>
                <w:sz w:val="20"/>
                <w:szCs w:val="20"/>
              </w:rPr>
            </w:pPr>
            <w:r w:rsidRPr="00AF6E2D">
              <w:rPr>
                <w:rFonts w:ascii="Verdana" w:hAnsi="Verdana"/>
                <w:noProof/>
                <w:sz w:val="20"/>
                <w:szCs w:val="20"/>
              </w:rPr>
              <w:t>All members of the Consortium have significant technical, toxicological, ecotoxicological and commercial expertise on DMSO.</w:t>
            </w:r>
          </w:p>
          <w:p w:rsidR="00AF6E2D" w:rsidRPr="00AF6E2D" w:rsidRDefault="00AF6E2D" w:rsidP="001F4FCE">
            <w:pPr>
              <w:rPr>
                <w:rFonts w:ascii="Verdana" w:hAnsi="Verdana"/>
                <w:noProof/>
                <w:sz w:val="20"/>
                <w:szCs w:val="20"/>
              </w:rPr>
            </w:pPr>
            <w:r w:rsidRPr="00AF6E2D">
              <w:rPr>
                <w:rFonts w:ascii="Verdana" w:hAnsi="Verdana"/>
                <w:noProof/>
                <w:sz w:val="20"/>
                <w:szCs w:val="20"/>
              </w:rPr>
              <w:t>General statement</w:t>
            </w:r>
          </w:p>
          <w:p w:rsidR="00AF6E2D" w:rsidRPr="00AF6E2D" w:rsidRDefault="00AF6E2D" w:rsidP="001F4FCE">
            <w:pPr>
              <w:rPr>
                <w:rFonts w:ascii="Verdana" w:hAnsi="Verdana"/>
                <w:noProof/>
                <w:sz w:val="20"/>
                <w:szCs w:val="20"/>
              </w:rPr>
            </w:pPr>
            <w:r w:rsidRPr="00AF6E2D">
              <w:rPr>
                <w:rFonts w:ascii="Verdana" w:hAnsi="Verdana"/>
                <w:noProof/>
                <w:sz w:val="20"/>
                <w:szCs w:val="20"/>
              </w:rPr>
              <w:t>The RAC and SEAC Opinion lists a number of criteria which have to be considered in a responsible substitution plan of NMP by DMSO (reactivity and incompatible mixtures, temperature stability range, skin permeability and choice of skin protective gloves). The technical competences to assess and manage these criteria are available and the cases of successful substitutions and experiences of NMP by DMSO are increasing.</w:t>
            </w:r>
          </w:p>
          <w:p w:rsidR="00AF6E2D" w:rsidRPr="00AF6E2D" w:rsidRDefault="00AF6E2D" w:rsidP="001F4FCE">
            <w:pPr>
              <w:rPr>
                <w:rFonts w:ascii="Verdana" w:hAnsi="Verdana"/>
                <w:noProof/>
                <w:sz w:val="20"/>
                <w:szCs w:val="20"/>
              </w:rPr>
            </w:pPr>
            <w:r w:rsidRPr="00AF6E2D">
              <w:rPr>
                <w:rFonts w:ascii="Verdana" w:hAnsi="Verdana"/>
                <w:noProof/>
                <w:sz w:val="20"/>
                <w:szCs w:val="20"/>
              </w:rPr>
              <w:lastRenderedPageBreak/>
              <w:t xml:space="preserve">The RAC and SEC Opinion lists 13 uses and concludes that the use of DMSO as alternative for NMP has been described for a limited number of uses. Herein, and in confidential submissions, the DMSO Consortium indicates that there are 10 uses for which commercial activity already exists and the number of uses where development is ongoing to organise the substitution of NMP by DMSO is increasing in Europe. </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The RAC and SEAC Opinion indicates that due to economic and toxic considerations, industry would have replaced NMP by DMSO if possible. Herein, the DMSO Consortium explains the evolution of the price of the two solvents demonstrating that the economic interest of DMSO is very recent. It is also explained that the toxicological and ecotoxicological data base of DMSO has been completed only recently and the absence of hazards confirmed by an independent OECD experts panel in 2010. As a result, it is considered that the sustainable use conditions of DMSO have been established only recently; these are prerequisite for the industry to consider substitution of NMP by DMSO.  </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Separate confidential and more detailed submissions by the individual members of the consortium will address: </w:t>
            </w:r>
          </w:p>
          <w:p w:rsidR="00AF6E2D" w:rsidRPr="00AF6E2D" w:rsidRDefault="00AF6E2D" w:rsidP="001F4FCE">
            <w:pPr>
              <w:rPr>
                <w:rFonts w:ascii="Verdana" w:hAnsi="Verdana"/>
                <w:noProof/>
                <w:sz w:val="20"/>
                <w:szCs w:val="20"/>
              </w:rPr>
            </w:pPr>
            <w:r w:rsidRPr="00AF6E2D">
              <w:rPr>
                <w:rFonts w:ascii="Verdana" w:hAnsi="Verdana"/>
                <w:noProof/>
                <w:sz w:val="20"/>
                <w:szCs w:val="20"/>
              </w:rPr>
              <w:t>C.2.2.9 Hazards from physico-chemical properties of DMSO</w:t>
            </w:r>
          </w:p>
          <w:p w:rsidR="00AF6E2D" w:rsidRPr="00AF6E2D" w:rsidRDefault="00AF6E2D" w:rsidP="001F4FCE">
            <w:pPr>
              <w:rPr>
                <w:rFonts w:ascii="Verdana" w:hAnsi="Verdana"/>
                <w:noProof/>
                <w:sz w:val="20"/>
                <w:szCs w:val="20"/>
              </w:rPr>
            </w:pPr>
            <w:r w:rsidRPr="00AF6E2D">
              <w:rPr>
                <w:rFonts w:ascii="Verdana" w:hAnsi="Verdana"/>
                <w:noProof/>
                <w:sz w:val="20"/>
                <w:szCs w:val="20"/>
              </w:rPr>
              <w:t>C.2.3 Environmental risks related to DMSO</w:t>
            </w:r>
          </w:p>
          <w:p w:rsidR="00AF6E2D" w:rsidRPr="00AF6E2D" w:rsidRDefault="00AF6E2D" w:rsidP="001F4FCE">
            <w:pPr>
              <w:rPr>
                <w:rFonts w:ascii="Verdana" w:hAnsi="Verdana"/>
                <w:noProof/>
                <w:sz w:val="20"/>
                <w:szCs w:val="20"/>
              </w:rPr>
            </w:pPr>
            <w:r w:rsidRPr="00AF6E2D">
              <w:rPr>
                <w:rFonts w:ascii="Verdana" w:hAnsi="Verdana"/>
                <w:noProof/>
                <w:sz w:val="20"/>
                <w:szCs w:val="20"/>
              </w:rPr>
              <w:t>C.2.4.1 Technical feasibility</w:t>
            </w:r>
          </w:p>
          <w:p w:rsidR="00AF6E2D" w:rsidRPr="00AF6E2D" w:rsidRDefault="00AF6E2D" w:rsidP="001F4FCE">
            <w:pPr>
              <w:rPr>
                <w:rFonts w:ascii="Verdana" w:hAnsi="Verdana"/>
                <w:noProof/>
                <w:sz w:val="20"/>
                <w:szCs w:val="20"/>
              </w:rPr>
            </w:pPr>
            <w:r w:rsidRPr="00AF6E2D">
              <w:rPr>
                <w:rFonts w:ascii="Verdana" w:hAnsi="Verdana"/>
                <w:noProof/>
                <w:sz w:val="20"/>
                <w:szCs w:val="20"/>
              </w:rPr>
              <w:t>Commercial uses are confirmed in Petrochemical industries, Non-wire coaters, Wire coaters, Cleaners, Electronics and semiconductor industries and Battery industries, Membrane manufacturers, High performance polymer producers, Agricultural chemical industries (synthesis, formulation), Pharmaceutical industry and biotechnology.</w:t>
            </w:r>
          </w:p>
          <w:p w:rsidR="00AF6E2D" w:rsidRPr="00AF6E2D" w:rsidRDefault="00AF6E2D" w:rsidP="001F4FCE">
            <w:pPr>
              <w:rPr>
                <w:rFonts w:ascii="Verdana" w:hAnsi="Verdana"/>
                <w:noProof/>
                <w:sz w:val="20"/>
                <w:szCs w:val="20"/>
              </w:rPr>
            </w:pPr>
            <w:r w:rsidRPr="00AF6E2D">
              <w:rPr>
                <w:rFonts w:ascii="Verdana" w:hAnsi="Verdana"/>
                <w:noProof/>
                <w:sz w:val="20"/>
                <w:szCs w:val="20"/>
              </w:rPr>
              <w:t>C.2.4.2 Economic feasibility</w:t>
            </w:r>
          </w:p>
          <w:p w:rsidR="00AF6E2D" w:rsidRPr="00AF6E2D" w:rsidRDefault="00AF6E2D" w:rsidP="001F4FCE">
            <w:pPr>
              <w:rPr>
                <w:rFonts w:ascii="Verdana" w:hAnsi="Verdana"/>
                <w:noProof/>
                <w:sz w:val="20"/>
                <w:szCs w:val="20"/>
              </w:rPr>
            </w:pPr>
            <w:r w:rsidRPr="00AF6E2D">
              <w:rPr>
                <w:rFonts w:ascii="Verdana" w:hAnsi="Verdana"/>
                <w:noProof/>
                <w:sz w:val="20"/>
                <w:szCs w:val="20"/>
              </w:rPr>
              <w:t>C.2.5.Conclusion on DMSO</w:t>
            </w:r>
          </w:p>
          <w:p w:rsidR="00AF6E2D" w:rsidRPr="00AF6E2D" w:rsidRDefault="00AF6E2D" w:rsidP="001F4FCE">
            <w:pPr>
              <w:rPr>
                <w:rFonts w:ascii="Verdana" w:hAnsi="Verdana"/>
                <w:noProof/>
                <w:sz w:val="20"/>
                <w:szCs w:val="20"/>
              </w:rPr>
            </w:pPr>
            <w:r w:rsidRPr="00AF6E2D">
              <w:rPr>
                <w:rFonts w:ascii="Verdana" w:hAnsi="Verdana"/>
                <w:noProof/>
                <w:sz w:val="20"/>
                <w:szCs w:val="20"/>
              </w:rPr>
              <w:t>The statement that “due to both economic and toxic considerations industry would have replaced NMP by DMSO if possible” is perceived as biased based on the fact that DMSO is already used commercially at industrial scale in 10 uses out of the 13 presented and further developments are ongoing.</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On the economic aspect, the evolution of the price of the two solvents is favourable to DMSO only in the last 4 years, hence limiting the consideration of DMSO as an economically feasible alternative to NMP before 2010. </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On the “toxic” aspect, it is important to understand that the toxicological and ecotoxicological database confirming the absence of hazards for DMSO is complete and available since 2007 only. The confirmation by independent OECD experts of the absence of hazards for DMSO started in 2008 and was completed in 2010 with the publication of the OECD SIDS.   </w:t>
            </w:r>
          </w:p>
          <w:p w:rsidR="00AF6E2D" w:rsidRPr="00AF6E2D" w:rsidRDefault="00AF6E2D" w:rsidP="001F4FCE">
            <w:pPr>
              <w:rPr>
                <w:rFonts w:ascii="Verdana" w:hAnsi="Verdana"/>
                <w:noProof/>
                <w:sz w:val="20"/>
                <w:szCs w:val="20"/>
              </w:rPr>
            </w:pPr>
            <w:r w:rsidRPr="00AF6E2D">
              <w:rPr>
                <w:rFonts w:ascii="Verdana" w:hAnsi="Verdana"/>
                <w:noProof/>
                <w:sz w:val="20"/>
                <w:szCs w:val="20"/>
              </w:rPr>
              <w:t>There have been numerous historical cases of hasty substitutions from a dangerous substance to a substance perceived as not dangerous until the toxicological and ecotoxicological results performed on the latter proved the opposite. In the industry using polar aprotic solvents in particular, this happened when a non-negligible number of actors switched from DMF to NMP.</w:t>
            </w:r>
          </w:p>
          <w:p w:rsidR="00AF6E2D" w:rsidRPr="00AF6E2D" w:rsidRDefault="00AF6E2D" w:rsidP="001F4FCE">
            <w:pPr>
              <w:rPr>
                <w:rFonts w:ascii="Verdana" w:hAnsi="Verdana"/>
                <w:noProof/>
                <w:sz w:val="20"/>
                <w:szCs w:val="20"/>
              </w:rPr>
            </w:pPr>
            <w:r w:rsidRPr="00AF6E2D">
              <w:rPr>
                <w:rFonts w:ascii="Verdana" w:hAnsi="Verdana"/>
                <w:noProof/>
                <w:sz w:val="20"/>
                <w:szCs w:val="20"/>
              </w:rPr>
              <w:lastRenderedPageBreak/>
              <w:t>Based on the amount of fine tailoring development, financial and time investment required to substitute a aprotic solvent by another, the industry has therefore been careful to have all the elements related to the absence of hazards before deciding to consider DMSO for sustainable developments.</w:t>
            </w:r>
          </w:p>
          <w:p w:rsidR="00AF6E2D" w:rsidRPr="00AF6E2D" w:rsidRDefault="00AF6E2D" w:rsidP="001F4FCE">
            <w:pPr>
              <w:rPr>
                <w:rFonts w:ascii="Verdana" w:hAnsi="Verdana"/>
                <w:noProof/>
                <w:sz w:val="20"/>
                <w:szCs w:val="20"/>
              </w:rPr>
            </w:pPr>
            <w:r w:rsidRPr="00AF6E2D">
              <w:rPr>
                <w:rFonts w:ascii="Verdana" w:hAnsi="Verdana"/>
                <w:noProof/>
                <w:sz w:val="20"/>
                <w:szCs w:val="20"/>
              </w:rPr>
              <w:t>The consideration of DMSO as a valid economical and safe alternative to NMP is therefore recent. Industrial actors have now started and in some cases completed substitution plans that demonstrate the technical feasibility in carefully tailored conditions.</w:t>
            </w:r>
          </w:p>
          <w:p w:rsidR="00AF6E2D" w:rsidRPr="00AF6E2D" w:rsidRDefault="00AF6E2D" w:rsidP="001F4FCE">
            <w:pPr>
              <w:rPr>
                <w:rFonts w:ascii="Verdana" w:hAnsi="Verdana"/>
                <w:sz w:val="20"/>
                <w:szCs w:val="20"/>
              </w:rPr>
            </w:pPr>
          </w:p>
        </w:tc>
      </w:tr>
      <w:tr w:rsidR="00AF6E2D" w:rsidRPr="00AF6E2D" w:rsidTr="00452DEB">
        <w:tc>
          <w:tcPr>
            <w:tcW w:w="817" w:type="dxa"/>
            <w:vMerge/>
          </w:tcPr>
          <w:p w:rsidR="00AF6E2D" w:rsidRPr="00AF6E2D" w:rsidRDefault="00AF6E2D" w:rsidP="001F4FCE">
            <w:pPr>
              <w:rPr>
                <w:rFonts w:ascii="Verdana" w:hAnsi="Verdana"/>
                <w:sz w:val="20"/>
                <w:szCs w:val="20"/>
              </w:rPr>
            </w:pPr>
          </w:p>
        </w:tc>
        <w:tc>
          <w:tcPr>
            <w:tcW w:w="2693" w:type="dxa"/>
            <w:vMerge/>
          </w:tcPr>
          <w:p w:rsidR="00AF6E2D" w:rsidRPr="00AF6E2D" w:rsidRDefault="00AF6E2D" w:rsidP="001F4FCE">
            <w:pPr>
              <w:rPr>
                <w:rFonts w:ascii="Verdana" w:hAnsi="Verdana"/>
                <w:b/>
                <w:sz w:val="20"/>
                <w:szCs w:val="20"/>
              </w:rPr>
            </w:pPr>
          </w:p>
        </w:tc>
        <w:tc>
          <w:tcPr>
            <w:tcW w:w="10632" w:type="dxa"/>
            <w:gridSpan w:val="2"/>
          </w:tcPr>
          <w:p w:rsidR="00AF6E2D" w:rsidRPr="00AF6E2D" w:rsidRDefault="00AF6E2D" w:rsidP="001F4FCE">
            <w:pPr>
              <w:rPr>
                <w:rFonts w:ascii="Verdana" w:hAnsi="Verdana"/>
                <w:b/>
                <w:sz w:val="20"/>
                <w:szCs w:val="20"/>
              </w:rPr>
            </w:pPr>
            <w:r w:rsidRPr="00AF6E2D">
              <w:rPr>
                <w:rFonts w:ascii="Verdana" w:hAnsi="Verdana"/>
                <w:b/>
                <w:sz w:val="20"/>
                <w:szCs w:val="20"/>
              </w:rPr>
              <w:t>SEAC Rapporteurs response</w:t>
            </w:r>
          </w:p>
          <w:p w:rsidR="00AF6E2D" w:rsidRPr="009D5243" w:rsidRDefault="009D5243" w:rsidP="001F4FCE">
            <w:pPr>
              <w:rPr>
                <w:rFonts w:ascii="Verdana" w:hAnsi="Verdana"/>
                <w:sz w:val="20"/>
                <w:szCs w:val="20"/>
              </w:rPr>
            </w:pPr>
            <w:r>
              <w:rPr>
                <w:rFonts w:ascii="Verdana" w:hAnsi="Verdana"/>
                <w:sz w:val="20"/>
                <w:szCs w:val="20"/>
              </w:rPr>
              <w:t xml:space="preserve">Thank you very much for </w:t>
            </w:r>
            <w:r w:rsidR="000E3A6E">
              <w:rPr>
                <w:rFonts w:ascii="Verdana" w:hAnsi="Verdana"/>
                <w:sz w:val="20"/>
                <w:szCs w:val="20"/>
              </w:rPr>
              <w:t xml:space="preserve">your </w:t>
            </w:r>
            <w:r w:rsidR="00575A66">
              <w:rPr>
                <w:rFonts w:ascii="Verdana" w:hAnsi="Verdana"/>
                <w:sz w:val="20"/>
                <w:szCs w:val="20"/>
              </w:rPr>
              <w:t>comment.</w:t>
            </w:r>
            <w:r>
              <w:rPr>
                <w:rFonts w:ascii="Verdana" w:hAnsi="Verdana"/>
                <w:sz w:val="20"/>
                <w:szCs w:val="20"/>
              </w:rPr>
              <w:t xml:space="preserve"> We </w:t>
            </w:r>
            <w:r w:rsidR="00BA11B0">
              <w:rPr>
                <w:rFonts w:ascii="Verdana" w:hAnsi="Verdana"/>
                <w:sz w:val="20"/>
                <w:szCs w:val="20"/>
              </w:rPr>
              <w:t>agree</w:t>
            </w:r>
            <w:r>
              <w:rPr>
                <w:rFonts w:ascii="Verdana" w:hAnsi="Verdana"/>
                <w:sz w:val="20"/>
                <w:szCs w:val="20"/>
              </w:rPr>
              <w:t xml:space="preserve"> that the description of DMSO in the BD could be considered as biased, especially with regard to the economic feasibility. However, for some uses, especially for wire coating, European experience on the use of DMSO</w:t>
            </w:r>
            <w:r w:rsidR="00BA11B0">
              <w:rPr>
                <w:rFonts w:ascii="Verdana" w:hAnsi="Verdana"/>
                <w:sz w:val="20"/>
                <w:szCs w:val="20"/>
              </w:rPr>
              <w:t xml:space="preserve"> seems to be lacking</w:t>
            </w:r>
            <w:r>
              <w:rPr>
                <w:rFonts w:ascii="Verdana" w:hAnsi="Verdana"/>
                <w:sz w:val="20"/>
                <w:szCs w:val="20"/>
              </w:rPr>
              <w:t xml:space="preserve">. </w:t>
            </w:r>
            <w:r w:rsidRPr="0093215B">
              <w:rPr>
                <w:rFonts w:ascii="Verdana" w:hAnsi="Verdana"/>
                <w:sz w:val="20"/>
                <w:szCs w:val="20"/>
              </w:rPr>
              <w:t xml:space="preserve">In </w:t>
            </w:r>
            <w:r w:rsidR="000E3A6E" w:rsidRPr="0093215B">
              <w:rPr>
                <w:rFonts w:ascii="Verdana" w:hAnsi="Verdana"/>
                <w:sz w:val="20"/>
                <w:szCs w:val="20"/>
              </w:rPr>
              <w:t xml:space="preserve">a </w:t>
            </w:r>
            <w:r w:rsidRPr="0093215B">
              <w:rPr>
                <w:rFonts w:ascii="Verdana" w:hAnsi="Verdana"/>
                <w:sz w:val="20"/>
                <w:szCs w:val="20"/>
              </w:rPr>
              <w:t>footnote in the background document</w:t>
            </w:r>
            <w:r w:rsidR="000E3A6E" w:rsidRPr="0093215B">
              <w:rPr>
                <w:rFonts w:ascii="Verdana" w:hAnsi="Verdana"/>
                <w:sz w:val="20"/>
                <w:szCs w:val="20"/>
              </w:rPr>
              <w:t xml:space="preserve"> we</w:t>
            </w:r>
            <w:r w:rsidRPr="0093215B">
              <w:rPr>
                <w:rFonts w:ascii="Verdana" w:hAnsi="Verdana"/>
                <w:sz w:val="20"/>
                <w:szCs w:val="20"/>
              </w:rPr>
              <w:t xml:space="preserve"> </w:t>
            </w:r>
            <w:r w:rsidR="00353B3C">
              <w:rPr>
                <w:rFonts w:ascii="Verdana" w:hAnsi="Verdana"/>
                <w:sz w:val="20"/>
                <w:szCs w:val="20"/>
              </w:rPr>
              <w:t xml:space="preserve">have </w:t>
            </w:r>
            <w:r w:rsidRPr="0093215B">
              <w:rPr>
                <w:rFonts w:ascii="Verdana" w:hAnsi="Verdana"/>
                <w:sz w:val="20"/>
                <w:szCs w:val="20"/>
              </w:rPr>
              <w:t>reflect</w:t>
            </w:r>
            <w:r w:rsidR="00353B3C">
              <w:rPr>
                <w:rFonts w:ascii="Verdana" w:hAnsi="Verdana"/>
                <w:sz w:val="20"/>
                <w:szCs w:val="20"/>
              </w:rPr>
              <w:t>ed</w:t>
            </w:r>
            <w:r w:rsidRPr="0093215B">
              <w:rPr>
                <w:rFonts w:ascii="Verdana" w:hAnsi="Verdana"/>
                <w:sz w:val="20"/>
                <w:szCs w:val="20"/>
              </w:rPr>
              <w:t xml:space="preserve"> that information has been submitted by manufacturers of DMSO with reference to downstream users which demonstrates that DMSO </w:t>
            </w:r>
            <w:r w:rsidR="001E187A" w:rsidRPr="0093215B">
              <w:rPr>
                <w:rFonts w:ascii="Verdana" w:hAnsi="Verdana"/>
                <w:sz w:val="20"/>
                <w:szCs w:val="20"/>
              </w:rPr>
              <w:t>seems to be suitable alternative in</w:t>
            </w:r>
            <w:r w:rsidRPr="0093215B">
              <w:rPr>
                <w:rFonts w:ascii="Verdana" w:hAnsi="Verdana"/>
                <w:sz w:val="20"/>
                <w:szCs w:val="20"/>
              </w:rPr>
              <w:t xml:space="preserve"> a number of </w:t>
            </w:r>
            <w:r w:rsidR="001E187A" w:rsidRPr="0093215B">
              <w:rPr>
                <w:rFonts w:ascii="Verdana" w:hAnsi="Verdana"/>
                <w:sz w:val="20"/>
                <w:szCs w:val="20"/>
              </w:rPr>
              <w:t>uses, and that there is no basis for stating that it is believed that due to [both toxic and] economic considerations industry would have replaced NMP if possible.</w:t>
            </w:r>
          </w:p>
          <w:p w:rsidR="00060949" w:rsidRPr="00AF6E2D" w:rsidRDefault="00060949" w:rsidP="001F4FCE">
            <w:pPr>
              <w:rPr>
                <w:rFonts w:ascii="Verdana" w:hAnsi="Verdana"/>
                <w:sz w:val="20"/>
                <w:szCs w:val="20"/>
              </w:rPr>
            </w:pPr>
          </w:p>
        </w:tc>
      </w:tr>
      <w:tr w:rsidR="00AF6E2D" w:rsidRPr="00AF6E2D" w:rsidTr="00452DEB">
        <w:tc>
          <w:tcPr>
            <w:tcW w:w="817" w:type="dxa"/>
            <w:vMerge w:val="restart"/>
          </w:tcPr>
          <w:p w:rsidR="00AF6E2D" w:rsidRPr="00AF6E2D" w:rsidRDefault="00AF6E2D" w:rsidP="001F4FCE">
            <w:pPr>
              <w:rPr>
                <w:rFonts w:ascii="Verdana" w:hAnsi="Verdana"/>
                <w:sz w:val="20"/>
                <w:szCs w:val="20"/>
              </w:rPr>
            </w:pPr>
            <w:r w:rsidRPr="00AF6E2D">
              <w:rPr>
                <w:rFonts w:ascii="Verdana" w:hAnsi="Verdana"/>
                <w:noProof/>
                <w:sz w:val="20"/>
                <w:szCs w:val="20"/>
              </w:rPr>
              <w:t>124</w:t>
            </w:r>
          </w:p>
        </w:tc>
        <w:tc>
          <w:tcPr>
            <w:tcW w:w="2693" w:type="dxa"/>
            <w:vMerge w:val="restart"/>
          </w:tcPr>
          <w:p w:rsidR="00AF6E2D" w:rsidRPr="00AF6E2D" w:rsidRDefault="00AF6E2D" w:rsidP="001F4FCE">
            <w:pPr>
              <w:rPr>
                <w:rFonts w:ascii="Verdana" w:hAnsi="Verdana"/>
                <w:sz w:val="20"/>
                <w:szCs w:val="20"/>
              </w:rPr>
            </w:pPr>
            <w:r w:rsidRPr="00AF6E2D">
              <w:rPr>
                <w:rFonts w:ascii="Verdana" w:hAnsi="Verdana"/>
                <w:b/>
                <w:sz w:val="20"/>
                <w:szCs w:val="20"/>
              </w:rPr>
              <w:t>Date/Time:</w:t>
            </w:r>
            <w:r w:rsidRPr="00AF6E2D">
              <w:rPr>
                <w:rFonts w:ascii="Verdana" w:hAnsi="Verdana"/>
                <w:sz w:val="20"/>
                <w:szCs w:val="20"/>
              </w:rPr>
              <w:t xml:space="preserve"> </w:t>
            </w:r>
            <w:r w:rsidRPr="00AF6E2D">
              <w:rPr>
                <w:rFonts w:ascii="Verdana" w:hAnsi="Verdana"/>
                <w:noProof/>
                <w:sz w:val="20"/>
                <w:szCs w:val="20"/>
              </w:rPr>
              <w:t>2014/11/14 10:49</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r w:rsidRPr="00AF6E2D">
              <w:rPr>
                <w:rFonts w:ascii="Verdana" w:hAnsi="Verdana"/>
                <w:b/>
                <w:sz w:val="20"/>
                <w:szCs w:val="20"/>
              </w:rPr>
              <w:t>Type:</w:t>
            </w:r>
            <w:r w:rsidRPr="00AF6E2D">
              <w:rPr>
                <w:rFonts w:ascii="Verdana" w:hAnsi="Verdana"/>
                <w:sz w:val="20"/>
                <w:szCs w:val="20"/>
              </w:rPr>
              <w:t xml:space="preserve"> </w:t>
            </w:r>
            <w:r w:rsidRPr="00AF6E2D">
              <w:rPr>
                <w:rFonts w:ascii="Verdana" w:hAnsi="Verdana"/>
                <w:noProof/>
                <w:sz w:val="20"/>
                <w:szCs w:val="20"/>
              </w:rPr>
              <w:t>Industry or trade association</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noProof/>
                <w:sz w:val="20"/>
                <w:szCs w:val="20"/>
              </w:rPr>
            </w:pPr>
            <w:r w:rsidRPr="00AF6E2D">
              <w:rPr>
                <w:rFonts w:ascii="Verdana" w:hAnsi="Verdana"/>
                <w:b/>
                <w:sz w:val="20"/>
                <w:szCs w:val="20"/>
              </w:rPr>
              <w:t xml:space="preserve">Country: </w:t>
            </w:r>
            <w:r w:rsidRPr="00AF6E2D">
              <w:rPr>
                <w:rFonts w:ascii="Verdana" w:hAnsi="Verdana"/>
                <w:noProof/>
                <w:sz w:val="20"/>
                <w:szCs w:val="20"/>
              </w:rPr>
              <w:t>Belgium</w:t>
            </w:r>
          </w:p>
          <w:p w:rsidR="00AF6E2D" w:rsidRPr="00AF6E2D" w:rsidRDefault="00AF6E2D" w:rsidP="001F4FCE">
            <w:pPr>
              <w:rPr>
                <w:rFonts w:ascii="Verdana" w:hAnsi="Verdana"/>
                <w:noProof/>
                <w:sz w:val="20"/>
                <w:szCs w:val="20"/>
              </w:rPr>
            </w:pPr>
          </w:p>
          <w:p w:rsidR="00AF6E2D" w:rsidRDefault="00AF6E2D" w:rsidP="001F4FCE">
            <w:pPr>
              <w:rPr>
                <w:rFonts w:ascii="Verdana" w:hAnsi="Verdana"/>
                <w:noProof/>
                <w:sz w:val="20"/>
                <w:szCs w:val="20"/>
              </w:rPr>
            </w:pPr>
            <w:r w:rsidRPr="00AF6E2D">
              <w:rPr>
                <w:rFonts w:ascii="Verdana" w:hAnsi="Verdana"/>
                <w:b/>
                <w:noProof/>
                <w:sz w:val="20"/>
                <w:szCs w:val="20"/>
              </w:rPr>
              <w:t xml:space="preserve">Name confidential: </w:t>
            </w:r>
            <w:r w:rsidRPr="00AF6E2D">
              <w:rPr>
                <w:rFonts w:ascii="Verdana" w:hAnsi="Verdana"/>
                <w:noProof/>
                <w:sz w:val="20"/>
                <w:szCs w:val="20"/>
              </w:rPr>
              <w:t>False</w:t>
            </w:r>
          </w:p>
          <w:p w:rsidR="000E16C1" w:rsidRDefault="000E16C1" w:rsidP="001F4FCE">
            <w:pPr>
              <w:rPr>
                <w:rFonts w:ascii="Verdana" w:hAnsi="Verdana"/>
                <w:noProof/>
                <w:sz w:val="20"/>
                <w:szCs w:val="20"/>
              </w:rPr>
            </w:pPr>
          </w:p>
          <w:p w:rsidR="000E16C1" w:rsidRPr="00D3092C" w:rsidRDefault="000E16C1" w:rsidP="001F4FCE">
            <w:pPr>
              <w:rPr>
                <w:rFonts w:ascii="Verdana" w:hAnsi="Verdana"/>
                <w:noProof/>
                <w:sz w:val="20"/>
                <w:szCs w:val="20"/>
              </w:rPr>
            </w:pPr>
            <w:r w:rsidRPr="000E16C1">
              <w:rPr>
                <w:rFonts w:ascii="Verdana" w:hAnsi="Verdana"/>
                <w:b/>
                <w:noProof/>
                <w:sz w:val="20"/>
                <w:szCs w:val="20"/>
              </w:rPr>
              <w:t>Attachment</w:t>
            </w:r>
            <w:r w:rsidR="00D3092C">
              <w:rPr>
                <w:rFonts w:ascii="Verdana" w:hAnsi="Verdana"/>
                <w:b/>
                <w:noProof/>
                <w:sz w:val="20"/>
                <w:szCs w:val="20"/>
              </w:rPr>
              <w:t xml:space="preserve"> confidential</w:t>
            </w:r>
            <w:r w:rsidRPr="000E16C1">
              <w:rPr>
                <w:rFonts w:ascii="Verdana" w:hAnsi="Verdana"/>
                <w:b/>
                <w:noProof/>
                <w:sz w:val="20"/>
                <w:szCs w:val="20"/>
              </w:rPr>
              <w:t>:</w:t>
            </w:r>
            <w:r w:rsidR="00D3092C">
              <w:rPr>
                <w:rFonts w:ascii="Verdana" w:hAnsi="Verdana"/>
                <w:b/>
                <w:noProof/>
                <w:sz w:val="20"/>
                <w:szCs w:val="20"/>
              </w:rPr>
              <w:t xml:space="preserve"> </w:t>
            </w:r>
            <w:r w:rsidR="00D3092C">
              <w:rPr>
                <w:rFonts w:ascii="Verdana" w:hAnsi="Verdana"/>
                <w:noProof/>
                <w:sz w:val="20"/>
                <w:szCs w:val="20"/>
              </w:rPr>
              <w:t>False</w:t>
            </w:r>
          </w:p>
          <w:p w:rsidR="000E16C1" w:rsidRDefault="000E16C1" w:rsidP="001F4FCE">
            <w:pPr>
              <w:rPr>
                <w:rFonts w:ascii="Verdana" w:hAnsi="Verdana"/>
                <w:noProof/>
                <w:sz w:val="20"/>
                <w:szCs w:val="20"/>
              </w:rPr>
            </w:pPr>
          </w:p>
          <w:bookmarkStart w:id="1" w:name="_MON_1477721942"/>
          <w:bookmarkEnd w:id="1"/>
          <w:p w:rsidR="00AF6E2D" w:rsidRPr="00AF6E2D" w:rsidRDefault="000E16C1" w:rsidP="001F4FCE">
            <w:pPr>
              <w:rPr>
                <w:rFonts w:ascii="Verdana" w:hAnsi="Verdana"/>
                <w:sz w:val="20"/>
                <w:szCs w:val="20"/>
              </w:rPr>
            </w:pPr>
            <w:r>
              <w:rPr>
                <w:rFonts w:ascii="Verdana" w:hAnsi="Verdana"/>
                <w:sz w:val="20"/>
                <w:szCs w:val="20"/>
              </w:rPr>
              <w:object w:dxaOrig="1531" w:dyaOrig="991" w14:anchorId="49BFD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7" o:title=""/>
                </v:shape>
                <o:OLEObject Type="Embed" ProgID="Word.Document.12" ShapeID="_x0000_i1025" DrawAspect="Icon" ObjectID="_1594548952" r:id="rId18">
                  <o:FieldCodes>\s</o:FieldCodes>
                </o:OLEObject>
              </w:object>
            </w:r>
          </w:p>
          <w:p w:rsidR="00AF6E2D" w:rsidRPr="00AF6E2D" w:rsidRDefault="00AF6E2D" w:rsidP="001F4FCE">
            <w:pPr>
              <w:rPr>
                <w:rFonts w:ascii="Verdana" w:hAnsi="Verdana"/>
                <w:sz w:val="20"/>
                <w:szCs w:val="20"/>
              </w:rPr>
            </w:pPr>
          </w:p>
        </w:tc>
        <w:tc>
          <w:tcPr>
            <w:tcW w:w="10632" w:type="dxa"/>
            <w:gridSpan w:val="2"/>
          </w:tcPr>
          <w:p w:rsidR="00AF6E2D" w:rsidRPr="00AF6E2D" w:rsidRDefault="00AF6E2D" w:rsidP="001F4FCE">
            <w:pPr>
              <w:rPr>
                <w:rFonts w:ascii="Verdana" w:hAnsi="Verdana"/>
                <w:b/>
                <w:sz w:val="20"/>
                <w:szCs w:val="20"/>
              </w:rPr>
            </w:pPr>
            <w:r w:rsidRPr="00AF6E2D">
              <w:rPr>
                <w:rFonts w:ascii="Verdana" w:hAnsi="Verdana"/>
                <w:b/>
                <w:sz w:val="20"/>
                <w:szCs w:val="20"/>
              </w:rPr>
              <w:t>Comment:</w:t>
            </w:r>
          </w:p>
          <w:p w:rsidR="00AF6E2D" w:rsidRPr="00AF6E2D" w:rsidRDefault="00AF6E2D" w:rsidP="001F4FCE">
            <w:pPr>
              <w:rPr>
                <w:rFonts w:ascii="Verdana" w:hAnsi="Verdana"/>
                <w:noProof/>
                <w:sz w:val="20"/>
                <w:szCs w:val="20"/>
              </w:rPr>
            </w:pPr>
            <w:r w:rsidRPr="00AF6E2D">
              <w:rPr>
                <w:rFonts w:ascii="Verdana" w:hAnsi="Verdana"/>
                <w:noProof/>
                <w:sz w:val="20"/>
                <w:szCs w:val="20"/>
              </w:rPr>
              <w:t>EWWG Secretary</w:t>
            </w:r>
          </w:p>
          <w:p w:rsidR="00AF6E2D" w:rsidRPr="00AF6E2D" w:rsidRDefault="00AF6E2D" w:rsidP="001F4FCE">
            <w:pPr>
              <w:rPr>
                <w:rFonts w:ascii="Verdana" w:hAnsi="Verdana"/>
                <w:noProof/>
                <w:sz w:val="20"/>
                <w:szCs w:val="20"/>
              </w:rPr>
            </w:pPr>
            <w:r w:rsidRPr="00AF6E2D">
              <w:rPr>
                <w:rFonts w:ascii="Verdana" w:hAnsi="Verdana"/>
                <w:noProof/>
                <w:sz w:val="20"/>
                <w:szCs w:val="20"/>
              </w:rPr>
              <w:t>L.Danel</w:t>
            </w:r>
          </w:p>
          <w:p w:rsidR="00AF6E2D" w:rsidRPr="00AF6E2D" w:rsidRDefault="00AF6E2D" w:rsidP="001F4FCE">
            <w:pPr>
              <w:rPr>
                <w:rFonts w:ascii="Verdana" w:hAnsi="Verdana"/>
                <w:noProof/>
                <w:sz w:val="20"/>
                <w:szCs w:val="20"/>
              </w:rPr>
            </w:pPr>
            <w:r w:rsidRPr="00AF6E2D">
              <w:rPr>
                <w:rFonts w:ascii="Verdana" w:hAnsi="Verdana"/>
                <w:noProof/>
                <w:sz w:val="20"/>
                <w:szCs w:val="20"/>
              </w:rPr>
              <w:t>November 14th,2014</w:t>
            </w:r>
          </w:p>
          <w:p w:rsidR="00AF6E2D" w:rsidRPr="00AF6E2D" w:rsidRDefault="00AF6E2D" w:rsidP="001F4FCE">
            <w:pPr>
              <w:rPr>
                <w:rFonts w:ascii="Verdana" w:hAnsi="Verdana"/>
                <w:noProof/>
                <w:sz w:val="20"/>
                <w:szCs w:val="20"/>
              </w:rPr>
            </w:pPr>
            <w:r w:rsidRPr="00AF6E2D">
              <w:rPr>
                <w:rFonts w:ascii="Verdana" w:hAnsi="Verdana"/>
                <w:noProof/>
                <w:sz w:val="20"/>
                <w:szCs w:val="20"/>
              </w:rPr>
              <w:t>Reference:  ECHA Report</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            Committee for Socio Economic Analysis on NMP</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            Draft from 10 Septe. 2014</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            Addendum to comments of EWWG</w:t>
            </w:r>
          </w:p>
          <w:p w:rsidR="00AF6E2D" w:rsidRPr="00AF6E2D" w:rsidRDefault="00AF6E2D" w:rsidP="001F4FCE">
            <w:pPr>
              <w:rPr>
                <w:rFonts w:ascii="Verdana" w:hAnsi="Verdana"/>
                <w:noProof/>
                <w:sz w:val="20"/>
                <w:szCs w:val="20"/>
              </w:rPr>
            </w:pPr>
            <w:r w:rsidRPr="00AF6E2D">
              <w:rPr>
                <w:rFonts w:ascii="Verdana" w:hAnsi="Verdana"/>
                <w:noProof/>
                <w:sz w:val="20"/>
                <w:szCs w:val="20"/>
              </w:rPr>
              <w:t>Due to the limitations of the comment-website (6000 characters maximum, no tables) a Word document has been sent separately to ECHA by e-mail.One table,which is already available from previous documents, had to be deleted from the transmission to the ECHA website to stay within the limits.</w:t>
            </w:r>
          </w:p>
          <w:p w:rsidR="00AF6E2D" w:rsidRDefault="00AF6E2D" w:rsidP="001F4FCE">
            <w:pPr>
              <w:rPr>
                <w:rFonts w:ascii="Verdana" w:hAnsi="Verdana"/>
                <w:noProof/>
                <w:sz w:val="20"/>
                <w:szCs w:val="20"/>
              </w:rPr>
            </w:pPr>
            <w:r w:rsidRPr="00AF6E2D">
              <w:rPr>
                <w:rFonts w:ascii="Verdana" w:hAnsi="Verdana"/>
                <w:noProof/>
                <w:sz w:val="20"/>
                <w:szCs w:val="20"/>
              </w:rPr>
              <w:t>The Word document submitted to ECHA is public and does not contain any confidential information.</w:t>
            </w:r>
          </w:p>
          <w:p w:rsidR="00AF6E2D" w:rsidRPr="00AF6E2D" w:rsidRDefault="00AF6E2D" w:rsidP="001F4FCE">
            <w:pPr>
              <w:rPr>
                <w:rFonts w:ascii="Verdana" w:hAnsi="Verdana"/>
                <w:sz w:val="20"/>
                <w:szCs w:val="20"/>
              </w:rPr>
            </w:pPr>
          </w:p>
        </w:tc>
      </w:tr>
      <w:tr w:rsidR="00AF6E2D" w:rsidRPr="00AF6E2D" w:rsidTr="00452DEB">
        <w:tc>
          <w:tcPr>
            <w:tcW w:w="817" w:type="dxa"/>
            <w:vMerge/>
          </w:tcPr>
          <w:p w:rsidR="00AF6E2D" w:rsidRPr="00AF6E2D" w:rsidRDefault="00AF6E2D" w:rsidP="001F4FCE">
            <w:pPr>
              <w:rPr>
                <w:rFonts w:ascii="Verdana" w:hAnsi="Verdana"/>
                <w:sz w:val="20"/>
                <w:szCs w:val="20"/>
              </w:rPr>
            </w:pPr>
          </w:p>
        </w:tc>
        <w:tc>
          <w:tcPr>
            <w:tcW w:w="2693" w:type="dxa"/>
            <w:vMerge/>
          </w:tcPr>
          <w:p w:rsidR="00AF6E2D" w:rsidRPr="00AF6E2D" w:rsidRDefault="00AF6E2D" w:rsidP="001F4FCE">
            <w:pPr>
              <w:rPr>
                <w:rFonts w:ascii="Verdana" w:hAnsi="Verdana"/>
                <w:b/>
                <w:sz w:val="20"/>
                <w:szCs w:val="20"/>
              </w:rPr>
            </w:pPr>
          </w:p>
        </w:tc>
        <w:tc>
          <w:tcPr>
            <w:tcW w:w="10632" w:type="dxa"/>
            <w:gridSpan w:val="2"/>
          </w:tcPr>
          <w:p w:rsidR="00AF6E2D" w:rsidRPr="00AF6E2D" w:rsidRDefault="00AF6E2D" w:rsidP="001F4FCE">
            <w:pPr>
              <w:rPr>
                <w:rFonts w:ascii="Verdana" w:hAnsi="Verdana"/>
                <w:b/>
                <w:sz w:val="20"/>
                <w:szCs w:val="20"/>
              </w:rPr>
            </w:pPr>
            <w:r w:rsidRPr="00AF6E2D">
              <w:rPr>
                <w:rFonts w:ascii="Verdana" w:hAnsi="Verdana"/>
                <w:b/>
                <w:sz w:val="20"/>
                <w:szCs w:val="20"/>
              </w:rPr>
              <w:t>SEAC Rapporteurs response</w:t>
            </w:r>
          </w:p>
          <w:p w:rsidR="00AF6E2D" w:rsidRPr="00AF6E2D" w:rsidRDefault="00AF6E2D" w:rsidP="001F4FCE">
            <w:pPr>
              <w:rPr>
                <w:rFonts w:ascii="Verdana" w:hAnsi="Verdana"/>
                <w:b/>
                <w:sz w:val="20"/>
                <w:szCs w:val="20"/>
              </w:rPr>
            </w:pPr>
          </w:p>
          <w:p w:rsidR="00AF6E2D" w:rsidRPr="00AF6E2D" w:rsidRDefault="001E187A" w:rsidP="001F4FCE">
            <w:pPr>
              <w:rPr>
                <w:rFonts w:ascii="Verdana" w:hAnsi="Verdana"/>
                <w:sz w:val="20"/>
                <w:szCs w:val="20"/>
              </w:rPr>
            </w:pPr>
            <w:r>
              <w:rPr>
                <w:rFonts w:ascii="Verdana" w:hAnsi="Verdana"/>
                <w:sz w:val="20"/>
                <w:szCs w:val="20"/>
              </w:rPr>
              <w:t>See #129</w:t>
            </w:r>
          </w:p>
        </w:tc>
      </w:tr>
      <w:tr w:rsidR="00AF6E2D" w:rsidRPr="00AF6E2D" w:rsidTr="00452DEB">
        <w:tc>
          <w:tcPr>
            <w:tcW w:w="817" w:type="dxa"/>
            <w:vMerge w:val="restart"/>
          </w:tcPr>
          <w:p w:rsidR="00AF6E2D" w:rsidRPr="00AF6E2D" w:rsidRDefault="00AF6E2D" w:rsidP="001F4FCE">
            <w:pPr>
              <w:rPr>
                <w:rFonts w:ascii="Verdana" w:hAnsi="Verdana"/>
                <w:sz w:val="20"/>
                <w:szCs w:val="20"/>
              </w:rPr>
            </w:pPr>
            <w:r w:rsidRPr="00AF6E2D">
              <w:rPr>
                <w:rFonts w:ascii="Verdana" w:hAnsi="Verdana"/>
                <w:noProof/>
                <w:sz w:val="20"/>
                <w:szCs w:val="20"/>
              </w:rPr>
              <w:lastRenderedPageBreak/>
              <w:t>123</w:t>
            </w:r>
          </w:p>
        </w:tc>
        <w:tc>
          <w:tcPr>
            <w:tcW w:w="2693" w:type="dxa"/>
            <w:vMerge w:val="restart"/>
          </w:tcPr>
          <w:p w:rsidR="00AF6E2D" w:rsidRPr="00AF6E2D" w:rsidRDefault="00AF6E2D" w:rsidP="001F4FCE">
            <w:pPr>
              <w:rPr>
                <w:rFonts w:ascii="Verdana" w:hAnsi="Verdana"/>
                <w:sz w:val="20"/>
                <w:szCs w:val="20"/>
              </w:rPr>
            </w:pPr>
            <w:r w:rsidRPr="00AF6E2D">
              <w:rPr>
                <w:rFonts w:ascii="Verdana" w:hAnsi="Verdana"/>
                <w:b/>
                <w:sz w:val="20"/>
                <w:szCs w:val="20"/>
              </w:rPr>
              <w:t>Date/Time:</w:t>
            </w:r>
            <w:r w:rsidRPr="00AF6E2D">
              <w:rPr>
                <w:rFonts w:ascii="Verdana" w:hAnsi="Verdana"/>
                <w:sz w:val="20"/>
                <w:szCs w:val="20"/>
              </w:rPr>
              <w:t xml:space="preserve"> </w:t>
            </w:r>
            <w:r w:rsidRPr="00AF6E2D">
              <w:rPr>
                <w:rFonts w:ascii="Verdana" w:hAnsi="Verdana"/>
                <w:noProof/>
                <w:sz w:val="20"/>
                <w:szCs w:val="20"/>
              </w:rPr>
              <w:t>2014/11/14 12:44</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r w:rsidRPr="00AF6E2D">
              <w:rPr>
                <w:rFonts w:ascii="Verdana" w:hAnsi="Verdana"/>
                <w:b/>
                <w:sz w:val="20"/>
                <w:szCs w:val="20"/>
              </w:rPr>
              <w:t>Type:</w:t>
            </w:r>
            <w:r w:rsidRPr="00AF6E2D">
              <w:rPr>
                <w:rFonts w:ascii="Verdana" w:hAnsi="Verdana"/>
                <w:sz w:val="20"/>
                <w:szCs w:val="20"/>
              </w:rPr>
              <w:t xml:space="preserve"> </w:t>
            </w:r>
            <w:r w:rsidRPr="00AF6E2D">
              <w:rPr>
                <w:rFonts w:ascii="Verdana" w:hAnsi="Verdana"/>
                <w:noProof/>
                <w:sz w:val="20"/>
                <w:szCs w:val="20"/>
              </w:rPr>
              <w:t>National Authority</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noProof/>
                <w:sz w:val="20"/>
                <w:szCs w:val="20"/>
              </w:rPr>
            </w:pPr>
            <w:r w:rsidRPr="00AF6E2D">
              <w:rPr>
                <w:rFonts w:ascii="Verdana" w:hAnsi="Verdana"/>
                <w:b/>
                <w:sz w:val="20"/>
                <w:szCs w:val="20"/>
              </w:rPr>
              <w:t xml:space="preserve">Country: </w:t>
            </w:r>
            <w:r w:rsidRPr="00AF6E2D">
              <w:rPr>
                <w:rFonts w:ascii="Verdana" w:hAnsi="Verdana"/>
                <w:noProof/>
                <w:sz w:val="20"/>
                <w:szCs w:val="20"/>
              </w:rPr>
              <w:t>Denmark</w:t>
            </w:r>
          </w:p>
          <w:p w:rsidR="00AF6E2D" w:rsidRPr="00AF6E2D" w:rsidRDefault="00AF6E2D" w:rsidP="001F4FCE">
            <w:pPr>
              <w:rPr>
                <w:rFonts w:ascii="Verdana" w:hAnsi="Verdana"/>
                <w:noProof/>
                <w:sz w:val="20"/>
                <w:szCs w:val="20"/>
              </w:rPr>
            </w:pPr>
          </w:p>
          <w:p w:rsidR="00AF6E2D" w:rsidRPr="00AF6E2D" w:rsidRDefault="00AF6E2D" w:rsidP="001F4FCE">
            <w:pPr>
              <w:rPr>
                <w:rFonts w:ascii="Verdana" w:hAnsi="Verdana"/>
                <w:sz w:val="20"/>
                <w:szCs w:val="20"/>
              </w:rPr>
            </w:pPr>
            <w:r w:rsidRPr="00AF6E2D">
              <w:rPr>
                <w:rFonts w:ascii="Verdana" w:hAnsi="Verdana"/>
                <w:b/>
                <w:noProof/>
                <w:sz w:val="20"/>
                <w:szCs w:val="20"/>
              </w:rPr>
              <w:t xml:space="preserve">Name confidential: </w:t>
            </w:r>
            <w:r w:rsidR="00B26C0B">
              <w:rPr>
                <w:rFonts w:ascii="Verdana" w:hAnsi="Verdana"/>
                <w:noProof/>
                <w:color w:val="FF0000"/>
                <w:sz w:val="20"/>
                <w:szCs w:val="20"/>
              </w:rPr>
              <w:t>False</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p>
        </w:tc>
        <w:tc>
          <w:tcPr>
            <w:tcW w:w="10632" w:type="dxa"/>
            <w:gridSpan w:val="2"/>
          </w:tcPr>
          <w:p w:rsidR="00AF6E2D" w:rsidRPr="009D5ABF" w:rsidRDefault="00AF6E2D" w:rsidP="001F4FCE">
            <w:pPr>
              <w:rPr>
                <w:rFonts w:ascii="Verdana" w:hAnsi="Verdana"/>
                <w:b/>
                <w:sz w:val="20"/>
                <w:szCs w:val="20"/>
              </w:rPr>
            </w:pPr>
            <w:r w:rsidRPr="009D5ABF">
              <w:rPr>
                <w:rFonts w:ascii="Verdana" w:hAnsi="Verdana"/>
                <w:b/>
                <w:sz w:val="20"/>
                <w:szCs w:val="20"/>
              </w:rPr>
              <w:t>Comment:</w:t>
            </w:r>
          </w:p>
          <w:p w:rsidR="00AF6E2D" w:rsidRPr="009D5ABF" w:rsidRDefault="00AF6E2D" w:rsidP="001F4FCE">
            <w:pPr>
              <w:rPr>
                <w:rFonts w:ascii="Verdana" w:hAnsi="Verdana"/>
                <w:noProof/>
                <w:sz w:val="20"/>
                <w:szCs w:val="20"/>
              </w:rPr>
            </w:pPr>
            <w:r w:rsidRPr="009D5ABF">
              <w:rPr>
                <w:rFonts w:ascii="Verdana" w:hAnsi="Verdana"/>
                <w:noProof/>
                <w:sz w:val="20"/>
                <w:szCs w:val="20"/>
              </w:rPr>
              <w:t xml:space="preserve">Comments on the SEAC draft opinion from </w:t>
            </w:r>
            <w:r w:rsidR="00884012" w:rsidRPr="009D5ABF">
              <w:rPr>
                <w:rFonts w:ascii="Verdana" w:hAnsi="Verdana"/>
                <w:noProof/>
                <w:sz w:val="20"/>
                <w:szCs w:val="20"/>
              </w:rPr>
              <w:t>Danish Working Environment Authority (DWEA)</w:t>
            </w:r>
          </w:p>
          <w:p w:rsidR="00AF6E2D" w:rsidRPr="009D5ABF" w:rsidRDefault="00AF6E2D" w:rsidP="001F4FCE">
            <w:pPr>
              <w:rPr>
                <w:rFonts w:ascii="Verdana" w:hAnsi="Verdana"/>
                <w:noProof/>
                <w:sz w:val="20"/>
                <w:szCs w:val="20"/>
              </w:rPr>
            </w:pPr>
            <w:r w:rsidRPr="009D5ABF">
              <w:rPr>
                <w:rFonts w:ascii="Verdana" w:hAnsi="Verdana"/>
                <w:noProof/>
                <w:sz w:val="20"/>
                <w:szCs w:val="20"/>
              </w:rPr>
              <w:t xml:space="preserve">Hereby the </w:t>
            </w:r>
            <w:r w:rsidR="00B26C0B" w:rsidRPr="009D5ABF">
              <w:rPr>
                <w:rFonts w:ascii="Verdana" w:hAnsi="Verdana"/>
                <w:sz w:val="20"/>
                <w:szCs w:val="20"/>
                <w:lang w:val="en" w:eastAsia="da-DK"/>
              </w:rPr>
              <w:t>The Danish Working Environment Authority (DWEA)</w:t>
            </w:r>
            <w:r w:rsidR="009F56C9" w:rsidRPr="009D5ABF">
              <w:rPr>
                <w:rFonts w:ascii="Verdana" w:hAnsi="Verdana"/>
                <w:noProof/>
                <w:color w:val="FF0000"/>
                <w:sz w:val="20"/>
                <w:szCs w:val="20"/>
              </w:rPr>
              <w:t xml:space="preserve"> </w:t>
            </w:r>
            <w:r w:rsidRPr="009D5ABF">
              <w:rPr>
                <w:rFonts w:ascii="Verdana" w:hAnsi="Verdana"/>
                <w:noProof/>
                <w:sz w:val="20"/>
                <w:szCs w:val="20"/>
              </w:rPr>
              <w:t>has following final comments on the REACH Annex XVII proposal for restriction on NMP:</w:t>
            </w:r>
          </w:p>
          <w:p w:rsidR="00AF6E2D" w:rsidRPr="009D5ABF" w:rsidRDefault="00B26C0B" w:rsidP="001F4FCE">
            <w:pPr>
              <w:rPr>
                <w:rFonts w:ascii="Verdana" w:hAnsi="Verdana"/>
                <w:noProof/>
                <w:sz w:val="20"/>
                <w:szCs w:val="20"/>
              </w:rPr>
            </w:pPr>
            <w:r w:rsidRPr="009D5ABF">
              <w:rPr>
                <w:rFonts w:ascii="Verdana" w:hAnsi="Verdana"/>
                <w:sz w:val="20"/>
                <w:szCs w:val="20"/>
                <w:lang w:val="en" w:eastAsia="da-DK"/>
              </w:rPr>
              <w:t>The Danish Working Environment Authority (DWEA)</w:t>
            </w:r>
            <w:r w:rsidR="00AF6E2D" w:rsidRPr="009D5ABF">
              <w:rPr>
                <w:rFonts w:ascii="Verdana" w:hAnsi="Verdana"/>
                <w:noProof/>
                <w:sz w:val="20"/>
                <w:szCs w:val="20"/>
              </w:rPr>
              <w:t xml:space="preserve"> supports that the wording in the proposal is changed from concepts/terms based on The Occupational Safety and Health legislation (OSH)(worker protection legislation(WPL) )to the concepts/terms that belongs in REACH Regulation. </w:t>
            </w:r>
            <w:r w:rsidR="009F56C9" w:rsidRPr="009D5ABF">
              <w:rPr>
                <w:rFonts w:ascii="Verdana" w:hAnsi="Verdana"/>
                <w:noProof/>
                <w:color w:val="FF0000"/>
                <w:sz w:val="20"/>
                <w:szCs w:val="20"/>
              </w:rPr>
              <w:t xml:space="preserve">[…] </w:t>
            </w:r>
            <w:r w:rsidR="00AF6E2D" w:rsidRPr="009D5ABF">
              <w:rPr>
                <w:rFonts w:ascii="Verdana" w:hAnsi="Verdana"/>
                <w:noProof/>
                <w:sz w:val="20"/>
                <w:szCs w:val="20"/>
              </w:rPr>
              <w:t xml:space="preserve">call attention to that REACH Regulation shall apply without prejudice to the OHS legislation in accordance with Article 2 (4.a) of REACH. </w:t>
            </w:r>
          </w:p>
          <w:p w:rsidR="00AF6E2D" w:rsidRPr="009D5ABF" w:rsidRDefault="00AF6E2D" w:rsidP="001F4FCE">
            <w:pPr>
              <w:rPr>
                <w:rFonts w:ascii="Verdana" w:hAnsi="Verdana"/>
                <w:noProof/>
                <w:sz w:val="20"/>
                <w:szCs w:val="20"/>
              </w:rPr>
            </w:pPr>
            <w:r w:rsidRPr="009D5ABF">
              <w:rPr>
                <w:rFonts w:ascii="Verdana" w:hAnsi="Verdana"/>
                <w:noProof/>
                <w:sz w:val="20"/>
                <w:szCs w:val="20"/>
              </w:rPr>
              <w:t>Working environmental regulations for work places are regulated in (OSH) in accordance with Frame Directive 89/391, Chemical Agents Directive (CAD) 98/24 and Carcinogens and Mutagens Directive (CMD) 2004/37.</w:t>
            </w:r>
          </w:p>
          <w:p w:rsidR="00AF6E2D" w:rsidRPr="009D5ABF" w:rsidRDefault="00AF6E2D" w:rsidP="001F4FCE">
            <w:pPr>
              <w:rPr>
                <w:rFonts w:ascii="Verdana" w:hAnsi="Verdana"/>
                <w:noProof/>
                <w:sz w:val="20"/>
                <w:szCs w:val="20"/>
              </w:rPr>
            </w:pPr>
            <w:r w:rsidRPr="009D5ABF">
              <w:rPr>
                <w:rFonts w:ascii="Verdana" w:hAnsi="Verdana"/>
                <w:noProof/>
                <w:sz w:val="20"/>
                <w:szCs w:val="20"/>
              </w:rPr>
              <w:t>WPL (Worker Protection Legislation) is based on precautionary principle and that exposure at workplaces for hazardous substances should be kept as low as possible.</w:t>
            </w:r>
          </w:p>
          <w:p w:rsidR="00AF6E2D" w:rsidRPr="009D5ABF" w:rsidRDefault="00B26C0B" w:rsidP="001F4FCE">
            <w:pPr>
              <w:rPr>
                <w:rFonts w:ascii="Verdana" w:hAnsi="Verdana"/>
                <w:noProof/>
                <w:sz w:val="20"/>
                <w:szCs w:val="20"/>
              </w:rPr>
            </w:pPr>
            <w:r w:rsidRPr="009D5ABF">
              <w:rPr>
                <w:rFonts w:ascii="Verdana" w:hAnsi="Verdana"/>
                <w:sz w:val="20"/>
                <w:szCs w:val="20"/>
                <w:lang w:val="en" w:eastAsia="da-DK"/>
              </w:rPr>
              <w:t>DWEA</w:t>
            </w:r>
            <w:r w:rsidR="009F56C9" w:rsidRPr="009D5ABF">
              <w:rPr>
                <w:rFonts w:ascii="Verdana" w:hAnsi="Verdana"/>
                <w:noProof/>
                <w:color w:val="FF0000"/>
                <w:sz w:val="20"/>
                <w:szCs w:val="20"/>
              </w:rPr>
              <w:t xml:space="preserve"> </w:t>
            </w:r>
            <w:r w:rsidR="00AF6E2D" w:rsidRPr="009D5ABF">
              <w:rPr>
                <w:rFonts w:ascii="Verdana" w:hAnsi="Verdana"/>
                <w:noProof/>
                <w:sz w:val="20"/>
                <w:szCs w:val="20"/>
              </w:rPr>
              <w:t xml:space="preserve">supports, that RACs modified proposal in the restriction are directed at registrants and downstream users, especially formulators who need to perform a chemical safety report (CSR) and complete a chemical safety assessment according to REACH article 14 and 37.  </w:t>
            </w:r>
          </w:p>
          <w:p w:rsidR="00AF6E2D" w:rsidRPr="009D5ABF" w:rsidRDefault="00B26C0B" w:rsidP="001F4FCE">
            <w:pPr>
              <w:rPr>
                <w:rFonts w:ascii="Verdana" w:hAnsi="Verdana"/>
                <w:noProof/>
                <w:sz w:val="20"/>
                <w:szCs w:val="20"/>
              </w:rPr>
            </w:pPr>
            <w:r w:rsidRPr="009D5ABF">
              <w:rPr>
                <w:rFonts w:ascii="Verdana" w:hAnsi="Verdana"/>
                <w:sz w:val="20"/>
                <w:szCs w:val="20"/>
                <w:lang w:val="en" w:eastAsia="da-DK"/>
              </w:rPr>
              <w:t>DWEA</w:t>
            </w:r>
            <w:r w:rsidR="009F56C9" w:rsidRPr="009D5ABF">
              <w:rPr>
                <w:rFonts w:ascii="Verdana" w:hAnsi="Verdana"/>
                <w:noProof/>
                <w:color w:val="FF0000"/>
                <w:sz w:val="20"/>
                <w:szCs w:val="20"/>
              </w:rPr>
              <w:t xml:space="preserve"> </w:t>
            </w:r>
            <w:r w:rsidR="00AF6E2D" w:rsidRPr="009D5ABF">
              <w:rPr>
                <w:rFonts w:ascii="Verdana" w:hAnsi="Verdana"/>
                <w:noProof/>
                <w:sz w:val="20"/>
                <w:szCs w:val="20"/>
              </w:rPr>
              <w:t>wishes to call attention to that the derivation of DNEL according to ECHA guidance on how to set DNEL values is mainly based on use of human data and based on health effects. Furthermore also according to REACH Annex I, the DNELs are health based.</w:t>
            </w:r>
          </w:p>
          <w:p w:rsidR="00AF6E2D" w:rsidRPr="009D5ABF" w:rsidRDefault="00AF6E2D" w:rsidP="001F4FCE">
            <w:pPr>
              <w:rPr>
                <w:rFonts w:ascii="Verdana" w:hAnsi="Verdana"/>
                <w:noProof/>
                <w:sz w:val="20"/>
                <w:szCs w:val="20"/>
              </w:rPr>
            </w:pPr>
            <w:r w:rsidRPr="009D5ABF">
              <w:rPr>
                <w:rFonts w:ascii="Verdana" w:hAnsi="Verdana"/>
                <w:noProof/>
                <w:sz w:val="20"/>
                <w:szCs w:val="20"/>
              </w:rPr>
              <w:t>Furthermore</w:t>
            </w:r>
            <w:r w:rsidR="009D5ABF">
              <w:rPr>
                <w:rFonts w:ascii="Verdana" w:hAnsi="Verdana"/>
                <w:noProof/>
                <w:sz w:val="20"/>
                <w:szCs w:val="20"/>
              </w:rPr>
              <w:t>,</w:t>
            </w:r>
            <w:r w:rsidRPr="009D5ABF">
              <w:rPr>
                <w:rFonts w:ascii="Verdana" w:hAnsi="Verdana"/>
                <w:noProof/>
                <w:sz w:val="20"/>
                <w:szCs w:val="20"/>
              </w:rPr>
              <w:t xml:space="preserve"> </w:t>
            </w:r>
            <w:r w:rsidR="00B26C0B" w:rsidRPr="009D5ABF">
              <w:rPr>
                <w:rFonts w:ascii="Verdana" w:hAnsi="Verdana"/>
                <w:sz w:val="20"/>
                <w:szCs w:val="20"/>
                <w:lang w:val="en" w:eastAsia="da-DK"/>
              </w:rPr>
              <w:t>DWEA</w:t>
            </w:r>
            <w:r w:rsidR="009F56C9" w:rsidRPr="009D5ABF">
              <w:rPr>
                <w:rFonts w:ascii="Verdana" w:hAnsi="Verdana"/>
                <w:noProof/>
                <w:color w:val="FF0000"/>
                <w:sz w:val="20"/>
                <w:szCs w:val="20"/>
              </w:rPr>
              <w:t xml:space="preserve"> </w:t>
            </w:r>
            <w:r w:rsidRPr="009D5ABF">
              <w:rPr>
                <w:rFonts w:ascii="Verdana" w:hAnsi="Verdana"/>
                <w:noProof/>
                <w:sz w:val="20"/>
                <w:szCs w:val="20"/>
              </w:rPr>
              <w:t>wiches to call attention to NMP already seems to be covered by Annex XVII (552/2009) point 30 because of the harmonized classification Repr. 1B (Reproductive toxicant category 1B), which would mean that NMP shall not be placed on the market for supply to the general public</w:t>
            </w:r>
          </w:p>
          <w:p w:rsidR="00AF6E2D" w:rsidRPr="009D5ABF" w:rsidRDefault="00AF6E2D" w:rsidP="001F4FCE">
            <w:pPr>
              <w:rPr>
                <w:rFonts w:ascii="Verdana" w:hAnsi="Verdana"/>
                <w:sz w:val="20"/>
                <w:szCs w:val="20"/>
              </w:rPr>
            </w:pPr>
          </w:p>
        </w:tc>
      </w:tr>
      <w:tr w:rsidR="00AF6E2D" w:rsidRPr="00AF6E2D" w:rsidTr="00452DEB">
        <w:tc>
          <w:tcPr>
            <w:tcW w:w="817" w:type="dxa"/>
            <w:vMerge/>
          </w:tcPr>
          <w:p w:rsidR="00AF6E2D" w:rsidRPr="00AF6E2D" w:rsidRDefault="00AF6E2D" w:rsidP="001F4FCE">
            <w:pPr>
              <w:rPr>
                <w:rFonts w:ascii="Verdana" w:hAnsi="Verdana"/>
                <w:sz w:val="20"/>
                <w:szCs w:val="20"/>
              </w:rPr>
            </w:pPr>
          </w:p>
        </w:tc>
        <w:tc>
          <w:tcPr>
            <w:tcW w:w="2693" w:type="dxa"/>
            <w:vMerge/>
          </w:tcPr>
          <w:p w:rsidR="00AF6E2D" w:rsidRPr="00AF6E2D" w:rsidRDefault="00AF6E2D" w:rsidP="001F4FCE">
            <w:pPr>
              <w:rPr>
                <w:rFonts w:ascii="Verdana" w:hAnsi="Verdana"/>
                <w:b/>
                <w:sz w:val="20"/>
                <w:szCs w:val="20"/>
              </w:rPr>
            </w:pPr>
          </w:p>
        </w:tc>
        <w:tc>
          <w:tcPr>
            <w:tcW w:w="10632" w:type="dxa"/>
            <w:gridSpan w:val="2"/>
          </w:tcPr>
          <w:p w:rsidR="00AF6E2D" w:rsidRPr="00AF6E2D" w:rsidRDefault="00AF6E2D" w:rsidP="001F4FCE">
            <w:pPr>
              <w:rPr>
                <w:rFonts w:ascii="Verdana" w:hAnsi="Verdana"/>
                <w:b/>
                <w:sz w:val="20"/>
                <w:szCs w:val="20"/>
              </w:rPr>
            </w:pPr>
            <w:r w:rsidRPr="00AF6E2D">
              <w:rPr>
                <w:rFonts w:ascii="Verdana" w:hAnsi="Verdana"/>
                <w:b/>
                <w:sz w:val="20"/>
                <w:szCs w:val="20"/>
              </w:rPr>
              <w:t>SEAC Rapporteurs response</w:t>
            </w:r>
          </w:p>
          <w:p w:rsidR="00AF6E2D" w:rsidRDefault="001E187A" w:rsidP="0044514F">
            <w:pPr>
              <w:rPr>
                <w:rFonts w:ascii="Verdana" w:hAnsi="Verdana"/>
                <w:sz w:val="20"/>
                <w:szCs w:val="20"/>
              </w:rPr>
            </w:pPr>
            <w:r>
              <w:rPr>
                <w:rFonts w:ascii="Verdana" w:hAnsi="Verdana"/>
                <w:sz w:val="20"/>
                <w:szCs w:val="20"/>
              </w:rPr>
              <w:t>Thank you for the comment</w:t>
            </w:r>
            <w:r w:rsidR="009D5ABF">
              <w:rPr>
                <w:rFonts w:ascii="Verdana" w:hAnsi="Verdana"/>
                <w:sz w:val="20"/>
                <w:szCs w:val="20"/>
              </w:rPr>
              <w:t>.</w:t>
            </w:r>
          </w:p>
          <w:p w:rsidR="00575A66" w:rsidRPr="001E187A" w:rsidRDefault="00575A66" w:rsidP="0044514F">
            <w:pPr>
              <w:rPr>
                <w:rFonts w:ascii="Verdana" w:hAnsi="Verdana"/>
                <w:sz w:val="20"/>
                <w:szCs w:val="20"/>
              </w:rPr>
            </w:pPr>
          </w:p>
        </w:tc>
      </w:tr>
      <w:tr w:rsidR="00AF6E2D" w:rsidRPr="00AF6E2D" w:rsidTr="00452DEB">
        <w:tc>
          <w:tcPr>
            <w:tcW w:w="817" w:type="dxa"/>
            <w:vMerge w:val="restart"/>
          </w:tcPr>
          <w:p w:rsidR="00AF6E2D" w:rsidRPr="00AF6E2D" w:rsidRDefault="00AF6E2D" w:rsidP="001F4FCE">
            <w:pPr>
              <w:rPr>
                <w:rFonts w:ascii="Verdana" w:hAnsi="Verdana"/>
                <w:sz w:val="20"/>
                <w:szCs w:val="20"/>
              </w:rPr>
            </w:pPr>
            <w:r w:rsidRPr="00AF6E2D">
              <w:rPr>
                <w:rFonts w:ascii="Verdana" w:hAnsi="Verdana"/>
                <w:noProof/>
                <w:sz w:val="20"/>
                <w:szCs w:val="20"/>
              </w:rPr>
              <w:t>126</w:t>
            </w:r>
          </w:p>
        </w:tc>
        <w:tc>
          <w:tcPr>
            <w:tcW w:w="2693" w:type="dxa"/>
            <w:vMerge w:val="restart"/>
          </w:tcPr>
          <w:p w:rsidR="00AF6E2D" w:rsidRPr="00AF6E2D" w:rsidRDefault="00AF6E2D" w:rsidP="001F4FCE">
            <w:pPr>
              <w:rPr>
                <w:rFonts w:ascii="Verdana" w:hAnsi="Verdana"/>
                <w:sz w:val="20"/>
                <w:szCs w:val="20"/>
              </w:rPr>
            </w:pPr>
            <w:r w:rsidRPr="00AF6E2D">
              <w:rPr>
                <w:rFonts w:ascii="Verdana" w:hAnsi="Verdana"/>
                <w:b/>
                <w:sz w:val="20"/>
                <w:szCs w:val="20"/>
              </w:rPr>
              <w:t>Date/Time:</w:t>
            </w:r>
            <w:r w:rsidRPr="00AF6E2D">
              <w:rPr>
                <w:rFonts w:ascii="Verdana" w:hAnsi="Verdana"/>
                <w:sz w:val="20"/>
                <w:szCs w:val="20"/>
              </w:rPr>
              <w:t xml:space="preserve"> </w:t>
            </w:r>
            <w:r w:rsidRPr="00AF6E2D">
              <w:rPr>
                <w:rFonts w:ascii="Verdana" w:hAnsi="Verdana"/>
                <w:noProof/>
                <w:sz w:val="20"/>
                <w:szCs w:val="20"/>
              </w:rPr>
              <w:t>2014/11/14 14:39</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r w:rsidRPr="00AF6E2D">
              <w:rPr>
                <w:rFonts w:ascii="Verdana" w:hAnsi="Verdana"/>
                <w:b/>
                <w:noProof/>
                <w:sz w:val="20"/>
                <w:szCs w:val="20"/>
              </w:rPr>
              <w:t xml:space="preserve">Name confidential: </w:t>
            </w:r>
            <w:r w:rsidRPr="00AF6E2D">
              <w:rPr>
                <w:rFonts w:ascii="Verdana" w:hAnsi="Verdana"/>
                <w:noProof/>
                <w:sz w:val="20"/>
                <w:szCs w:val="20"/>
              </w:rPr>
              <w:t>False</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p>
        </w:tc>
        <w:tc>
          <w:tcPr>
            <w:tcW w:w="10632" w:type="dxa"/>
            <w:gridSpan w:val="2"/>
          </w:tcPr>
          <w:p w:rsidR="00AF6E2D" w:rsidRPr="00AF6E2D" w:rsidRDefault="00AF6E2D" w:rsidP="001F4FCE">
            <w:pPr>
              <w:rPr>
                <w:rFonts w:ascii="Verdana" w:hAnsi="Verdana"/>
                <w:b/>
                <w:sz w:val="20"/>
                <w:szCs w:val="20"/>
              </w:rPr>
            </w:pPr>
            <w:r w:rsidRPr="00AF6E2D">
              <w:rPr>
                <w:rFonts w:ascii="Verdana" w:hAnsi="Verdana"/>
                <w:b/>
                <w:sz w:val="20"/>
                <w:szCs w:val="20"/>
              </w:rPr>
              <w:t>Comment:</w:t>
            </w:r>
          </w:p>
          <w:p w:rsidR="00AF6E2D" w:rsidRPr="00AF6E2D" w:rsidRDefault="00AF6E2D" w:rsidP="001F4FCE">
            <w:pPr>
              <w:rPr>
                <w:rFonts w:ascii="Verdana" w:hAnsi="Verdana"/>
                <w:noProof/>
                <w:sz w:val="20"/>
                <w:szCs w:val="20"/>
              </w:rPr>
            </w:pPr>
            <w:r w:rsidRPr="00AF6E2D">
              <w:rPr>
                <w:rFonts w:ascii="Verdana" w:hAnsi="Verdana"/>
                <w:noProof/>
                <w:sz w:val="20"/>
                <w:szCs w:val="20"/>
              </w:rPr>
              <w:t>The proposed restriction is insufficient for creating a harmonized level of protection for workers’ health across EU MS as it is lacking two indispensable elements:</w:t>
            </w:r>
          </w:p>
          <w:p w:rsidR="00AF6E2D" w:rsidRPr="00AF6E2D" w:rsidRDefault="00AF6E2D" w:rsidP="001F4FCE">
            <w:pPr>
              <w:rPr>
                <w:rFonts w:ascii="Verdana" w:hAnsi="Verdana"/>
                <w:noProof/>
                <w:sz w:val="20"/>
                <w:szCs w:val="20"/>
              </w:rPr>
            </w:pPr>
            <w:r w:rsidRPr="00AF6E2D">
              <w:rPr>
                <w:rFonts w:ascii="Verdana" w:hAnsi="Verdana"/>
                <w:noProof/>
                <w:sz w:val="20"/>
                <w:szCs w:val="20"/>
              </w:rPr>
              <w:t>(i) a specification for duty-holders under the restriction on how to validate that the DNELs prescribed in the restriction will actually be achieved by means of the RMMs derived by them in their CSA and communicated in the SDS, including a specification on the documentation of the validation procedure and of the results achieved by it;</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(ii) a specification for DUs as applicants of the RMMs on how to review the effectiveness of the </w:t>
            </w:r>
            <w:r w:rsidRPr="00AF6E2D">
              <w:rPr>
                <w:rFonts w:ascii="Verdana" w:hAnsi="Verdana"/>
                <w:noProof/>
                <w:sz w:val="20"/>
                <w:szCs w:val="20"/>
              </w:rPr>
              <w:lastRenderedPageBreak/>
              <w:t>implemented RMMs communicated to them in the SDS, including a specification on the documentation of the review procedure and of the results achieved by it.</w:t>
            </w:r>
          </w:p>
          <w:p w:rsidR="00AF6E2D" w:rsidRPr="00AF6E2D" w:rsidRDefault="00AF6E2D" w:rsidP="001F4FCE">
            <w:pPr>
              <w:rPr>
                <w:rFonts w:ascii="Verdana" w:hAnsi="Verdana"/>
                <w:noProof/>
                <w:sz w:val="20"/>
                <w:szCs w:val="20"/>
              </w:rPr>
            </w:pPr>
            <w:r w:rsidRPr="00AF6E2D">
              <w:rPr>
                <w:rFonts w:ascii="Verdana" w:hAnsi="Verdana"/>
                <w:noProof/>
                <w:sz w:val="20"/>
                <w:szCs w:val="20"/>
              </w:rPr>
              <w:t>Furthermore, it will be indicated that a DNEL for workers’ dermal exposure can be neither controlled by the DU nor enforced by the authorities.</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In addition, it will be highlighted that certain RMMs for dermal exposure might result in additional health risks and, thus, might contradict OSH obligations, unless those RMMs are accompanied by specific organisational RMMs.    </w:t>
            </w:r>
          </w:p>
          <w:p w:rsidR="00AF6E2D" w:rsidRPr="00AF6E2D" w:rsidRDefault="00AF6E2D" w:rsidP="001F4FCE">
            <w:pPr>
              <w:rPr>
                <w:rFonts w:ascii="Verdana" w:hAnsi="Verdana"/>
                <w:noProof/>
                <w:sz w:val="20"/>
                <w:szCs w:val="20"/>
              </w:rPr>
            </w:pPr>
            <w:r w:rsidRPr="00AF6E2D">
              <w:rPr>
                <w:rFonts w:ascii="Verdana" w:hAnsi="Verdana"/>
                <w:noProof/>
                <w:sz w:val="20"/>
                <w:szCs w:val="20"/>
              </w:rPr>
              <w:t>Validation of RMMs</w:t>
            </w:r>
          </w:p>
          <w:p w:rsidR="00AF6E2D" w:rsidRPr="00AF6E2D" w:rsidRDefault="00AF6E2D" w:rsidP="001F4FCE">
            <w:pPr>
              <w:rPr>
                <w:rFonts w:ascii="Verdana" w:hAnsi="Verdana"/>
                <w:noProof/>
                <w:sz w:val="20"/>
                <w:szCs w:val="20"/>
              </w:rPr>
            </w:pPr>
            <w:r w:rsidRPr="00AF6E2D">
              <w:rPr>
                <w:rFonts w:ascii="Verdana" w:hAnsi="Verdana"/>
                <w:noProof/>
                <w:sz w:val="20"/>
                <w:szCs w:val="20"/>
              </w:rPr>
              <w:t>In order to secure that the derived RMMs are appropriate to achieve the DNELs prescribed in the restriction, they would have to be validated. Such a validation step is not obligatory as part of the CSA. Thus, a safeguard is missing that by the resulting RMMs, derived under the sole responsibility of the duty-holders under the restriction, the DNELs will actually be achieved. As a consequence of this gap, the DU, that is the recipient of the SDS, cannot be sure that the RMMs communicated in the SDS are appropriate to achieve the DNEL.</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This situation is not different to the situation in which RMMs are derived as part of the CSA under the registration obligation in order to achieve a DNEL derived by the M/I. However, as the DNEL used in the restriction has been derived by a legal entity and not by a private company, since it is intended to serve a different legal function, an improved quality control of the corresponding RMMs by prescribing a validation procedure is deemed necessary in view of the aim of the restriction to secure a harmonized level of protection for workers’ health across EU Member States.     </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Review of effectiveness of implemented RMMs          </w:t>
            </w:r>
          </w:p>
          <w:p w:rsidR="00AF6E2D" w:rsidRPr="00AF6E2D" w:rsidRDefault="00AF6E2D" w:rsidP="001F4FCE">
            <w:pPr>
              <w:rPr>
                <w:rFonts w:ascii="Verdana" w:hAnsi="Verdana"/>
                <w:noProof/>
                <w:sz w:val="20"/>
                <w:szCs w:val="20"/>
              </w:rPr>
            </w:pPr>
            <w:r w:rsidRPr="00AF6E2D">
              <w:rPr>
                <w:rFonts w:ascii="Verdana" w:hAnsi="Verdana"/>
                <w:noProof/>
                <w:sz w:val="20"/>
                <w:szCs w:val="20"/>
              </w:rPr>
              <w:t>In addition to the validation of the RMMs by the duty-holders under the restriction, there is also the necessity on the part of the applicants of the RMMs (DUs under REACH, employers under OSH) to review the effectiveness of the RMMs after their implementation, as the actual situations at the workplaces in question might be different to the assumptions under which the RMMs were derived up the supply chain.</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Although such a review of effectiveness is a standard procedure under OSH legislation as part of the risk assessment process under the responsibility of the employer, it is by no means a harmonized procedure, as in the CAD (Dir. 98/24/EC) only a general framework is prescribed as a minimum standard which was transposed into national legislation by the MS at their discretion. </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It should also be taken into account that legal instruments under REACH, such as DNELs, are not necessarily incorporated into national OSH legislation by MS. Thus, it is not predictable whether, and if so in what way, a DNEL under REACH would have to be observed under national OSH legislation in the risk assessment process under the responsibility of the employer.           </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As it is the aim of the restriction to secure a harmonized level of protection for workers’ health across MS, it is not sufficient to rely in the restriction implicitly on the non-harmonized obligations of the OSH legislation. Instead, as part of the restriction, it would be necessary to specify to DUs, as applicants of </w:t>
            </w:r>
            <w:r w:rsidRPr="00AF6E2D">
              <w:rPr>
                <w:rFonts w:ascii="Verdana" w:hAnsi="Verdana"/>
                <w:noProof/>
                <w:sz w:val="20"/>
                <w:szCs w:val="20"/>
              </w:rPr>
              <w:lastRenderedPageBreak/>
              <w:t xml:space="preserve">the RMMs communicated to them in the SDS, how to review the effectiveness of the RMMs implemented by them, including a specification on the documentation of that review procedure and of the results achieved by it.  </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Only based on such specifications, is it conceivable that the mechanism according to art. 34 (b) of REACH might facilitate a harmonized level of protection for workers’ health across EU MS.   </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DNEL for dermal exposure          </w:t>
            </w:r>
          </w:p>
          <w:p w:rsidR="00AF6E2D" w:rsidRPr="00AF6E2D" w:rsidRDefault="00AF6E2D" w:rsidP="001F4FCE">
            <w:pPr>
              <w:rPr>
                <w:rFonts w:ascii="Verdana" w:hAnsi="Verdana"/>
                <w:noProof/>
                <w:sz w:val="20"/>
                <w:szCs w:val="20"/>
              </w:rPr>
            </w:pPr>
            <w:r w:rsidRPr="00AF6E2D">
              <w:rPr>
                <w:rFonts w:ascii="Verdana" w:hAnsi="Verdana"/>
                <w:noProof/>
                <w:sz w:val="20"/>
                <w:szCs w:val="20"/>
              </w:rPr>
              <w:t>As there are no methods available for determining dermal exposure by ambient monitoring (in contrast to exposure by inhalation), biological monitoring is the only monitoring method available for controlling a DNEL for dermal exposure.</w:t>
            </w:r>
          </w:p>
          <w:p w:rsidR="00AF6E2D" w:rsidRPr="00AF6E2D" w:rsidRDefault="00AF6E2D" w:rsidP="001F4FCE">
            <w:pPr>
              <w:rPr>
                <w:rFonts w:ascii="Verdana" w:hAnsi="Verdana"/>
                <w:noProof/>
                <w:sz w:val="20"/>
                <w:szCs w:val="20"/>
              </w:rPr>
            </w:pPr>
            <w:r w:rsidRPr="00AF6E2D">
              <w:rPr>
                <w:rFonts w:ascii="Verdana" w:hAnsi="Verdana"/>
                <w:noProof/>
                <w:sz w:val="20"/>
                <w:szCs w:val="20"/>
              </w:rPr>
              <w:t>However, as there is no legal obligation for workers neither under REACH nor under OSH legislation to provide blood or urine samples for biological monitoring, the DU / employer has no legal basis for performing biological monitoring and, thus, is not in a position to fulfil his legal duty of checking the DNEL for dermal exposure. As a consequence, the mechanism prescribed in art. 34 (b) of REACH cannot work, as input from down the supply chain cannot be generated.</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RMMs for dermal exposure          </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When RMMs for dermal exposure comprise the use of protective gloves, as can be expected for a number of uses of NMP, it has to be taken into account that the measure “protective gloves” constitutes a health hazard in itself by giving rise to “wet work”, so that the prolonged use of protective gloves can result in skin damage. In some MS, the continuous use of protective gloves for more than two hours is considered a health risk which has to be remedied by additional measures (such as an obligatory skin protection programme, and rotation of work tasks between those with and without use of protective gloves). </w:t>
            </w:r>
          </w:p>
          <w:p w:rsidR="00AF6E2D" w:rsidRDefault="00AF6E2D" w:rsidP="001F4FCE">
            <w:pPr>
              <w:rPr>
                <w:rFonts w:ascii="Verdana" w:hAnsi="Verdana"/>
                <w:noProof/>
                <w:sz w:val="20"/>
                <w:szCs w:val="20"/>
              </w:rPr>
            </w:pPr>
            <w:r w:rsidRPr="00AF6E2D">
              <w:rPr>
                <w:rFonts w:ascii="Verdana" w:hAnsi="Verdana"/>
                <w:noProof/>
                <w:sz w:val="20"/>
                <w:szCs w:val="20"/>
              </w:rPr>
              <w:t>Should the RMMs for dermal exposure derived by duty-holders under the restriction comprise the use of protective gloves, such RMMs might clash with obligations under national OSH legislation, unless additional, primarily organisational, RMMs are communicated aiming at the health risks caused by the prolonged use of protective gloves.</w:t>
            </w:r>
          </w:p>
          <w:p w:rsidR="00AF6E2D" w:rsidRPr="00AF6E2D" w:rsidRDefault="00AF6E2D" w:rsidP="001F4FCE">
            <w:pPr>
              <w:rPr>
                <w:rFonts w:ascii="Verdana" w:hAnsi="Verdana"/>
                <w:sz w:val="20"/>
                <w:szCs w:val="20"/>
              </w:rPr>
            </w:pPr>
          </w:p>
        </w:tc>
      </w:tr>
      <w:tr w:rsidR="00AF6E2D" w:rsidRPr="00AF6E2D" w:rsidTr="00452DEB">
        <w:tc>
          <w:tcPr>
            <w:tcW w:w="817" w:type="dxa"/>
            <w:vMerge/>
          </w:tcPr>
          <w:p w:rsidR="00AF6E2D" w:rsidRPr="00AF6E2D" w:rsidRDefault="00AF6E2D" w:rsidP="001F4FCE">
            <w:pPr>
              <w:rPr>
                <w:rFonts w:ascii="Verdana" w:hAnsi="Verdana"/>
                <w:sz w:val="20"/>
                <w:szCs w:val="20"/>
              </w:rPr>
            </w:pPr>
          </w:p>
        </w:tc>
        <w:tc>
          <w:tcPr>
            <w:tcW w:w="2693" w:type="dxa"/>
            <w:vMerge/>
          </w:tcPr>
          <w:p w:rsidR="00AF6E2D" w:rsidRPr="00AF6E2D" w:rsidRDefault="00AF6E2D" w:rsidP="001F4FCE">
            <w:pPr>
              <w:rPr>
                <w:rFonts w:ascii="Verdana" w:hAnsi="Verdana"/>
                <w:b/>
                <w:sz w:val="20"/>
                <w:szCs w:val="20"/>
              </w:rPr>
            </w:pPr>
          </w:p>
        </w:tc>
        <w:tc>
          <w:tcPr>
            <w:tcW w:w="10632" w:type="dxa"/>
            <w:gridSpan w:val="2"/>
          </w:tcPr>
          <w:p w:rsidR="00AF6E2D" w:rsidRPr="00AF6E2D" w:rsidRDefault="00AF6E2D" w:rsidP="001F4FCE">
            <w:pPr>
              <w:rPr>
                <w:rFonts w:ascii="Verdana" w:hAnsi="Verdana"/>
                <w:b/>
                <w:sz w:val="20"/>
                <w:szCs w:val="20"/>
              </w:rPr>
            </w:pPr>
            <w:r w:rsidRPr="00AF6E2D">
              <w:rPr>
                <w:rFonts w:ascii="Verdana" w:hAnsi="Verdana"/>
                <w:b/>
                <w:sz w:val="20"/>
                <w:szCs w:val="20"/>
              </w:rPr>
              <w:t>SEAC Rapporteurs response</w:t>
            </w:r>
          </w:p>
          <w:p w:rsidR="00AF6E2D" w:rsidRPr="009D5ABF" w:rsidRDefault="00930A74" w:rsidP="001F4FCE">
            <w:pPr>
              <w:rPr>
                <w:rFonts w:ascii="Verdana" w:hAnsi="Verdana"/>
                <w:sz w:val="20"/>
                <w:szCs w:val="20"/>
              </w:rPr>
            </w:pPr>
            <w:r w:rsidRPr="009D5ABF">
              <w:rPr>
                <w:rFonts w:ascii="Verdana" w:hAnsi="Verdana"/>
                <w:sz w:val="20"/>
                <w:szCs w:val="20"/>
              </w:rPr>
              <w:t>Thank you for the comment, which is mostly related to national enforcement and monitoring activities.</w:t>
            </w:r>
          </w:p>
          <w:p w:rsidR="00930A74" w:rsidRPr="009D5ABF" w:rsidRDefault="00930A74" w:rsidP="001F4FCE">
            <w:pPr>
              <w:rPr>
                <w:rFonts w:ascii="Verdana" w:hAnsi="Verdana"/>
                <w:sz w:val="20"/>
                <w:szCs w:val="20"/>
              </w:rPr>
            </w:pPr>
            <w:r w:rsidRPr="009D5ABF">
              <w:rPr>
                <w:rFonts w:ascii="Verdana" w:hAnsi="Verdana"/>
                <w:sz w:val="20"/>
                <w:szCs w:val="20"/>
              </w:rPr>
              <w:t xml:space="preserve">We do not see any </w:t>
            </w:r>
            <w:r w:rsidR="000E74A7" w:rsidRPr="009D5ABF">
              <w:rPr>
                <w:rFonts w:ascii="Verdana" w:hAnsi="Verdana"/>
                <w:sz w:val="20"/>
                <w:szCs w:val="20"/>
              </w:rPr>
              <w:t>need to change / develop new approach to monitoring of implementation of</w:t>
            </w:r>
            <w:r w:rsidRPr="009D5ABF">
              <w:rPr>
                <w:rFonts w:ascii="Verdana" w:hAnsi="Verdana"/>
                <w:sz w:val="20"/>
                <w:szCs w:val="20"/>
              </w:rPr>
              <w:t xml:space="preserve"> </w:t>
            </w:r>
            <w:r w:rsidR="000E74A7" w:rsidRPr="009D5ABF">
              <w:rPr>
                <w:rFonts w:ascii="Verdana" w:hAnsi="Verdana"/>
                <w:sz w:val="20"/>
                <w:szCs w:val="20"/>
              </w:rPr>
              <w:t>legislative provisions related to controlling the risk</w:t>
            </w:r>
            <w:r w:rsidRPr="009D5ABF">
              <w:rPr>
                <w:rFonts w:ascii="Verdana" w:hAnsi="Verdana"/>
                <w:sz w:val="20"/>
                <w:szCs w:val="20"/>
              </w:rPr>
              <w:t xml:space="preserve">, just because the DNEL is established by a legal </w:t>
            </w:r>
            <w:r w:rsidR="00060949" w:rsidRPr="009D5ABF">
              <w:rPr>
                <w:rFonts w:ascii="Verdana" w:hAnsi="Verdana"/>
                <w:sz w:val="20"/>
                <w:szCs w:val="20"/>
              </w:rPr>
              <w:t xml:space="preserve">entity than – as in normal case under REACH – by industry. </w:t>
            </w:r>
            <w:r w:rsidRPr="009D5ABF">
              <w:rPr>
                <w:rFonts w:ascii="Verdana" w:hAnsi="Verdana"/>
                <w:sz w:val="20"/>
                <w:szCs w:val="20"/>
              </w:rPr>
              <w:t xml:space="preserve"> </w:t>
            </w:r>
          </w:p>
          <w:p w:rsidR="00AF6E2D" w:rsidRPr="00AF6E2D" w:rsidRDefault="00AF6E2D" w:rsidP="001F4FCE">
            <w:pPr>
              <w:rPr>
                <w:rFonts w:ascii="Verdana" w:hAnsi="Verdana"/>
                <w:sz w:val="20"/>
                <w:szCs w:val="20"/>
              </w:rPr>
            </w:pPr>
          </w:p>
        </w:tc>
      </w:tr>
      <w:tr w:rsidR="00AF6E2D" w:rsidRPr="00AF6E2D" w:rsidTr="00452DEB">
        <w:tc>
          <w:tcPr>
            <w:tcW w:w="817" w:type="dxa"/>
            <w:vMerge w:val="restart"/>
          </w:tcPr>
          <w:p w:rsidR="00AF6E2D" w:rsidRPr="00AF6E2D" w:rsidRDefault="00AF6E2D" w:rsidP="001F4FCE">
            <w:pPr>
              <w:rPr>
                <w:rFonts w:ascii="Verdana" w:hAnsi="Verdana"/>
                <w:sz w:val="20"/>
                <w:szCs w:val="20"/>
              </w:rPr>
            </w:pPr>
            <w:r w:rsidRPr="00AF6E2D">
              <w:rPr>
                <w:rFonts w:ascii="Verdana" w:hAnsi="Verdana"/>
                <w:noProof/>
                <w:sz w:val="20"/>
                <w:szCs w:val="20"/>
              </w:rPr>
              <w:t>119</w:t>
            </w:r>
          </w:p>
        </w:tc>
        <w:tc>
          <w:tcPr>
            <w:tcW w:w="2693" w:type="dxa"/>
            <w:vMerge w:val="restart"/>
          </w:tcPr>
          <w:p w:rsidR="00AF6E2D" w:rsidRPr="00AF6E2D" w:rsidRDefault="00AF6E2D" w:rsidP="001F4FCE">
            <w:pPr>
              <w:rPr>
                <w:rFonts w:ascii="Verdana" w:hAnsi="Verdana"/>
                <w:sz w:val="20"/>
                <w:szCs w:val="20"/>
              </w:rPr>
            </w:pPr>
            <w:r w:rsidRPr="00AF6E2D">
              <w:rPr>
                <w:rFonts w:ascii="Verdana" w:hAnsi="Verdana"/>
                <w:b/>
                <w:sz w:val="20"/>
                <w:szCs w:val="20"/>
              </w:rPr>
              <w:t>Date/Time:</w:t>
            </w:r>
            <w:r w:rsidRPr="00AF6E2D">
              <w:rPr>
                <w:rFonts w:ascii="Verdana" w:hAnsi="Verdana"/>
                <w:sz w:val="20"/>
                <w:szCs w:val="20"/>
              </w:rPr>
              <w:t xml:space="preserve"> </w:t>
            </w:r>
            <w:r w:rsidRPr="00AF6E2D">
              <w:rPr>
                <w:rFonts w:ascii="Verdana" w:hAnsi="Verdana"/>
                <w:noProof/>
                <w:sz w:val="20"/>
                <w:szCs w:val="20"/>
              </w:rPr>
              <w:t>2014/11/14 16:13</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r w:rsidRPr="00AF6E2D">
              <w:rPr>
                <w:rFonts w:ascii="Verdana" w:hAnsi="Verdana"/>
                <w:b/>
                <w:sz w:val="20"/>
                <w:szCs w:val="20"/>
              </w:rPr>
              <w:lastRenderedPageBreak/>
              <w:t>Type:</w:t>
            </w:r>
            <w:r w:rsidRPr="00AF6E2D">
              <w:rPr>
                <w:rFonts w:ascii="Verdana" w:hAnsi="Verdana"/>
                <w:sz w:val="20"/>
                <w:szCs w:val="20"/>
              </w:rPr>
              <w:t xml:space="preserve"> </w:t>
            </w:r>
            <w:r w:rsidRPr="00AF6E2D">
              <w:rPr>
                <w:rFonts w:ascii="Verdana" w:hAnsi="Verdana"/>
                <w:noProof/>
                <w:sz w:val="20"/>
                <w:szCs w:val="20"/>
              </w:rPr>
              <w:t>Company-Manufacturer</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noProof/>
                <w:sz w:val="20"/>
                <w:szCs w:val="20"/>
              </w:rPr>
            </w:pPr>
            <w:r w:rsidRPr="00AF6E2D">
              <w:rPr>
                <w:rFonts w:ascii="Verdana" w:hAnsi="Verdana"/>
                <w:b/>
                <w:sz w:val="20"/>
                <w:szCs w:val="20"/>
              </w:rPr>
              <w:t xml:space="preserve">Country: </w:t>
            </w:r>
            <w:r w:rsidRPr="00AF6E2D">
              <w:rPr>
                <w:rFonts w:ascii="Verdana" w:hAnsi="Verdana"/>
                <w:noProof/>
                <w:sz w:val="20"/>
                <w:szCs w:val="20"/>
              </w:rPr>
              <w:t>France</w:t>
            </w:r>
          </w:p>
          <w:p w:rsidR="00AF6E2D" w:rsidRPr="00AF6E2D" w:rsidRDefault="00AF6E2D" w:rsidP="001F4FCE">
            <w:pPr>
              <w:rPr>
                <w:rFonts w:ascii="Verdana" w:hAnsi="Verdana"/>
                <w:noProof/>
                <w:sz w:val="20"/>
                <w:szCs w:val="20"/>
              </w:rPr>
            </w:pPr>
          </w:p>
          <w:p w:rsidR="00AF6E2D" w:rsidRDefault="00AF6E2D" w:rsidP="001F4FCE">
            <w:pPr>
              <w:rPr>
                <w:rFonts w:ascii="Verdana" w:hAnsi="Verdana"/>
                <w:noProof/>
                <w:sz w:val="20"/>
                <w:szCs w:val="20"/>
              </w:rPr>
            </w:pPr>
            <w:r w:rsidRPr="00AF6E2D">
              <w:rPr>
                <w:rFonts w:ascii="Verdana" w:hAnsi="Verdana"/>
                <w:b/>
                <w:noProof/>
                <w:sz w:val="20"/>
                <w:szCs w:val="20"/>
              </w:rPr>
              <w:t xml:space="preserve">Name confidential: </w:t>
            </w:r>
            <w:r w:rsidRPr="00AF6E2D">
              <w:rPr>
                <w:rFonts w:ascii="Verdana" w:hAnsi="Verdana"/>
                <w:noProof/>
                <w:sz w:val="20"/>
                <w:szCs w:val="20"/>
              </w:rPr>
              <w:t>False</w:t>
            </w:r>
          </w:p>
          <w:p w:rsidR="00FD6DAD" w:rsidRDefault="00FD6DAD" w:rsidP="001F4FCE">
            <w:pPr>
              <w:rPr>
                <w:rFonts w:ascii="Verdana" w:hAnsi="Verdana"/>
                <w:noProof/>
                <w:sz w:val="20"/>
                <w:szCs w:val="20"/>
              </w:rPr>
            </w:pPr>
          </w:p>
          <w:p w:rsidR="00FD6DAD" w:rsidRDefault="00D3092C" w:rsidP="001F4FCE">
            <w:pPr>
              <w:rPr>
                <w:rFonts w:ascii="Verdana" w:hAnsi="Verdana"/>
                <w:noProof/>
                <w:sz w:val="20"/>
                <w:szCs w:val="20"/>
              </w:rPr>
            </w:pPr>
            <w:r w:rsidRPr="000E16C1">
              <w:rPr>
                <w:rFonts w:ascii="Verdana" w:hAnsi="Verdana"/>
                <w:b/>
                <w:noProof/>
                <w:sz w:val="20"/>
                <w:szCs w:val="20"/>
              </w:rPr>
              <w:t>Attachment</w:t>
            </w:r>
            <w:r>
              <w:rPr>
                <w:rFonts w:ascii="Verdana" w:hAnsi="Verdana"/>
                <w:b/>
                <w:noProof/>
                <w:sz w:val="20"/>
                <w:szCs w:val="20"/>
              </w:rPr>
              <w:t xml:space="preserve"> confidential</w:t>
            </w:r>
            <w:r w:rsidRPr="000E16C1">
              <w:rPr>
                <w:rFonts w:ascii="Verdana" w:hAnsi="Verdana"/>
                <w:b/>
                <w:noProof/>
                <w:sz w:val="20"/>
                <w:szCs w:val="20"/>
              </w:rPr>
              <w:t>:</w:t>
            </w:r>
            <w:r>
              <w:rPr>
                <w:rFonts w:ascii="Verdana" w:hAnsi="Verdana"/>
                <w:b/>
                <w:noProof/>
                <w:sz w:val="20"/>
                <w:szCs w:val="20"/>
              </w:rPr>
              <w:t xml:space="preserve"> </w:t>
            </w:r>
            <w:r w:rsidRPr="00D3092C">
              <w:rPr>
                <w:rFonts w:ascii="Verdana" w:hAnsi="Verdana"/>
                <w:noProof/>
                <w:color w:val="FF0000"/>
                <w:sz w:val="20"/>
                <w:szCs w:val="20"/>
              </w:rPr>
              <w:t>True</w:t>
            </w:r>
            <w:r w:rsidR="00A80F93">
              <w:rPr>
                <w:rFonts w:ascii="Verdana" w:hAnsi="Verdana"/>
                <w:noProof/>
                <w:color w:val="FF0000"/>
                <w:sz w:val="20"/>
                <w:szCs w:val="20"/>
              </w:rPr>
              <w:t xml:space="preserve"> (available from confidential table)</w:t>
            </w:r>
          </w:p>
          <w:p w:rsidR="00AF6E2D" w:rsidRPr="00AF6E2D" w:rsidRDefault="00AF6E2D" w:rsidP="001F4FCE">
            <w:pPr>
              <w:rPr>
                <w:rFonts w:ascii="Verdana" w:hAnsi="Verdana"/>
                <w:sz w:val="20"/>
                <w:szCs w:val="20"/>
              </w:rPr>
            </w:pPr>
          </w:p>
        </w:tc>
        <w:tc>
          <w:tcPr>
            <w:tcW w:w="10632" w:type="dxa"/>
            <w:gridSpan w:val="2"/>
          </w:tcPr>
          <w:p w:rsidR="00AF6E2D" w:rsidRPr="00AF6E2D" w:rsidRDefault="00AF6E2D" w:rsidP="001F4FCE">
            <w:pPr>
              <w:rPr>
                <w:rFonts w:ascii="Verdana" w:hAnsi="Verdana"/>
                <w:b/>
                <w:sz w:val="20"/>
                <w:szCs w:val="20"/>
              </w:rPr>
            </w:pPr>
            <w:r w:rsidRPr="00AF6E2D">
              <w:rPr>
                <w:rFonts w:ascii="Verdana" w:hAnsi="Verdana"/>
                <w:b/>
                <w:sz w:val="20"/>
                <w:szCs w:val="20"/>
              </w:rPr>
              <w:lastRenderedPageBreak/>
              <w:t>Comment:</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In addition to the public comment submitted by Arkema France on behalf of the DMSO consortium, Arkema France wishes to submit additional confidential comments on the SEAC draft opinion dated </w:t>
            </w:r>
            <w:r w:rsidRPr="00AF6E2D">
              <w:rPr>
                <w:rFonts w:ascii="Verdana" w:hAnsi="Verdana"/>
                <w:noProof/>
                <w:sz w:val="20"/>
                <w:szCs w:val="20"/>
              </w:rPr>
              <w:lastRenderedPageBreak/>
              <w:t>10th September 2014.</w:t>
            </w:r>
          </w:p>
          <w:p w:rsidR="00AF6E2D" w:rsidRPr="00AF6E2D" w:rsidRDefault="00AF6E2D" w:rsidP="001F4FCE">
            <w:pPr>
              <w:rPr>
                <w:rFonts w:ascii="Verdana" w:hAnsi="Verdana"/>
                <w:noProof/>
                <w:sz w:val="20"/>
                <w:szCs w:val="20"/>
              </w:rPr>
            </w:pPr>
            <w:r w:rsidRPr="00AF6E2D">
              <w:rPr>
                <w:rFonts w:ascii="Verdana" w:hAnsi="Verdana"/>
                <w:noProof/>
                <w:sz w:val="20"/>
                <w:szCs w:val="20"/>
              </w:rPr>
              <w:t>These have been transmitted via an email to the ECHA dossier manager in charge on the 14th November 2014.</w:t>
            </w:r>
          </w:p>
          <w:p w:rsidR="00AF6E2D" w:rsidRPr="00AF6E2D" w:rsidRDefault="00AF6E2D" w:rsidP="001F4FCE">
            <w:pPr>
              <w:rPr>
                <w:rFonts w:ascii="Verdana" w:hAnsi="Verdana"/>
                <w:noProof/>
                <w:sz w:val="20"/>
                <w:szCs w:val="20"/>
              </w:rPr>
            </w:pPr>
            <w:r w:rsidRPr="00AF6E2D">
              <w:rPr>
                <w:rFonts w:ascii="Verdana" w:hAnsi="Verdana"/>
                <w:noProof/>
                <w:sz w:val="20"/>
                <w:szCs w:val="20"/>
              </w:rPr>
              <w:t>Arkema France wishes a good receipt for this contribution.</w:t>
            </w:r>
          </w:p>
          <w:p w:rsidR="00AF6E2D" w:rsidRPr="00AF6E2D" w:rsidRDefault="00AF6E2D" w:rsidP="001F4FCE">
            <w:pPr>
              <w:rPr>
                <w:rFonts w:ascii="Verdana" w:hAnsi="Verdana"/>
                <w:sz w:val="20"/>
                <w:szCs w:val="20"/>
              </w:rPr>
            </w:pPr>
          </w:p>
        </w:tc>
      </w:tr>
      <w:tr w:rsidR="00AF6E2D" w:rsidRPr="00AF6E2D" w:rsidTr="00452DEB">
        <w:tc>
          <w:tcPr>
            <w:tcW w:w="817" w:type="dxa"/>
            <w:vMerge/>
          </w:tcPr>
          <w:p w:rsidR="00AF6E2D" w:rsidRPr="00AF6E2D" w:rsidRDefault="00AF6E2D" w:rsidP="001F4FCE">
            <w:pPr>
              <w:rPr>
                <w:rFonts w:ascii="Verdana" w:hAnsi="Verdana"/>
                <w:sz w:val="20"/>
                <w:szCs w:val="20"/>
              </w:rPr>
            </w:pPr>
          </w:p>
        </w:tc>
        <w:tc>
          <w:tcPr>
            <w:tcW w:w="2693" w:type="dxa"/>
            <w:vMerge/>
          </w:tcPr>
          <w:p w:rsidR="00AF6E2D" w:rsidRPr="00AF6E2D" w:rsidRDefault="00AF6E2D" w:rsidP="001F4FCE">
            <w:pPr>
              <w:rPr>
                <w:rFonts w:ascii="Verdana" w:hAnsi="Verdana"/>
                <w:b/>
                <w:sz w:val="20"/>
                <w:szCs w:val="20"/>
              </w:rPr>
            </w:pPr>
          </w:p>
        </w:tc>
        <w:tc>
          <w:tcPr>
            <w:tcW w:w="10632" w:type="dxa"/>
            <w:gridSpan w:val="2"/>
          </w:tcPr>
          <w:p w:rsidR="00AF6E2D" w:rsidRPr="00AF6E2D" w:rsidRDefault="00AF6E2D" w:rsidP="001F4FCE">
            <w:pPr>
              <w:rPr>
                <w:rFonts w:ascii="Verdana" w:hAnsi="Verdana"/>
                <w:b/>
                <w:sz w:val="20"/>
                <w:szCs w:val="20"/>
              </w:rPr>
            </w:pPr>
            <w:r w:rsidRPr="00AF6E2D">
              <w:rPr>
                <w:rFonts w:ascii="Verdana" w:hAnsi="Verdana"/>
                <w:b/>
                <w:sz w:val="20"/>
                <w:szCs w:val="20"/>
              </w:rPr>
              <w:t>SEAC Rapporteurs response</w:t>
            </w:r>
          </w:p>
          <w:p w:rsidR="00AF6E2D" w:rsidRPr="00060949" w:rsidRDefault="00060949" w:rsidP="001F4FCE">
            <w:pPr>
              <w:rPr>
                <w:rFonts w:ascii="Verdana" w:hAnsi="Verdana"/>
                <w:sz w:val="20"/>
                <w:szCs w:val="20"/>
              </w:rPr>
            </w:pPr>
            <w:r>
              <w:rPr>
                <w:rFonts w:ascii="Verdana" w:hAnsi="Verdana"/>
                <w:sz w:val="20"/>
                <w:szCs w:val="20"/>
              </w:rPr>
              <w:t>See #122</w:t>
            </w:r>
          </w:p>
        </w:tc>
      </w:tr>
      <w:tr w:rsidR="00AF6E2D" w:rsidRPr="00AF6E2D" w:rsidTr="00452DEB">
        <w:tc>
          <w:tcPr>
            <w:tcW w:w="817" w:type="dxa"/>
            <w:vMerge w:val="restart"/>
          </w:tcPr>
          <w:p w:rsidR="00AF6E2D" w:rsidRPr="00AF6E2D" w:rsidRDefault="00AF6E2D" w:rsidP="001F4FCE">
            <w:pPr>
              <w:rPr>
                <w:rFonts w:ascii="Verdana" w:hAnsi="Verdana"/>
                <w:sz w:val="20"/>
                <w:szCs w:val="20"/>
              </w:rPr>
            </w:pPr>
            <w:r w:rsidRPr="00AF6E2D">
              <w:rPr>
                <w:rFonts w:ascii="Verdana" w:hAnsi="Verdana"/>
                <w:noProof/>
                <w:sz w:val="20"/>
                <w:szCs w:val="20"/>
              </w:rPr>
              <w:t>125</w:t>
            </w:r>
          </w:p>
        </w:tc>
        <w:tc>
          <w:tcPr>
            <w:tcW w:w="2693" w:type="dxa"/>
            <w:vMerge w:val="restart"/>
          </w:tcPr>
          <w:p w:rsidR="00AF6E2D" w:rsidRPr="00AF6E2D" w:rsidRDefault="00AF6E2D" w:rsidP="001F4FCE">
            <w:pPr>
              <w:rPr>
                <w:rFonts w:ascii="Verdana" w:hAnsi="Verdana"/>
                <w:sz w:val="20"/>
                <w:szCs w:val="20"/>
              </w:rPr>
            </w:pPr>
            <w:r w:rsidRPr="00AF6E2D">
              <w:rPr>
                <w:rFonts w:ascii="Verdana" w:hAnsi="Verdana"/>
                <w:b/>
                <w:sz w:val="20"/>
                <w:szCs w:val="20"/>
              </w:rPr>
              <w:t>Date/Time:</w:t>
            </w:r>
            <w:r w:rsidRPr="00AF6E2D">
              <w:rPr>
                <w:rFonts w:ascii="Verdana" w:hAnsi="Verdana"/>
                <w:sz w:val="20"/>
                <w:szCs w:val="20"/>
              </w:rPr>
              <w:t xml:space="preserve"> </w:t>
            </w:r>
            <w:r w:rsidRPr="00AF6E2D">
              <w:rPr>
                <w:rFonts w:ascii="Verdana" w:hAnsi="Verdana"/>
                <w:noProof/>
                <w:sz w:val="20"/>
                <w:szCs w:val="20"/>
              </w:rPr>
              <w:t>2014/11/14 16:14</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r w:rsidRPr="00AF6E2D">
              <w:rPr>
                <w:rFonts w:ascii="Verdana" w:hAnsi="Verdana"/>
                <w:b/>
                <w:sz w:val="20"/>
                <w:szCs w:val="20"/>
              </w:rPr>
              <w:t>Type:</w:t>
            </w:r>
            <w:r w:rsidRPr="00AF6E2D">
              <w:rPr>
                <w:rFonts w:ascii="Verdana" w:hAnsi="Verdana"/>
                <w:sz w:val="20"/>
                <w:szCs w:val="20"/>
              </w:rPr>
              <w:t xml:space="preserve"> </w:t>
            </w:r>
            <w:r w:rsidRPr="00AF6E2D">
              <w:rPr>
                <w:rFonts w:ascii="Verdana" w:hAnsi="Verdana"/>
                <w:noProof/>
                <w:sz w:val="20"/>
                <w:szCs w:val="20"/>
              </w:rPr>
              <w:t>Company-Downstream user</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noProof/>
                <w:sz w:val="20"/>
                <w:szCs w:val="20"/>
              </w:rPr>
            </w:pPr>
            <w:r w:rsidRPr="00AF6E2D">
              <w:rPr>
                <w:rFonts w:ascii="Verdana" w:hAnsi="Verdana"/>
                <w:b/>
                <w:sz w:val="20"/>
                <w:szCs w:val="20"/>
              </w:rPr>
              <w:t xml:space="preserve">Country: </w:t>
            </w:r>
            <w:r w:rsidRPr="00AF6E2D">
              <w:rPr>
                <w:rFonts w:ascii="Verdana" w:hAnsi="Verdana"/>
                <w:noProof/>
                <w:sz w:val="20"/>
                <w:szCs w:val="20"/>
              </w:rPr>
              <w:t>Italy</w:t>
            </w:r>
          </w:p>
          <w:p w:rsidR="00AF6E2D" w:rsidRPr="00AF6E2D" w:rsidRDefault="00AF6E2D" w:rsidP="001F4FCE">
            <w:pPr>
              <w:rPr>
                <w:rFonts w:ascii="Verdana" w:hAnsi="Verdana"/>
                <w:noProof/>
                <w:sz w:val="20"/>
                <w:szCs w:val="20"/>
              </w:rPr>
            </w:pPr>
          </w:p>
          <w:p w:rsidR="00AF6E2D" w:rsidRPr="00AF6E2D" w:rsidRDefault="00AF6E2D" w:rsidP="001F4FCE">
            <w:pPr>
              <w:rPr>
                <w:rFonts w:ascii="Verdana" w:hAnsi="Verdana"/>
                <w:sz w:val="20"/>
                <w:szCs w:val="20"/>
              </w:rPr>
            </w:pPr>
            <w:r w:rsidRPr="00AF6E2D">
              <w:rPr>
                <w:rFonts w:ascii="Verdana" w:hAnsi="Verdana"/>
                <w:b/>
                <w:noProof/>
                <w:sz w:val="20"/>
                <w:szCs w:val="20"/>
              </w:rPr>
              <w:t xml:space="preserve">Name confidential: </w:t>
            </w:r>
            <w:r w:rsidRPr="00AF6E2D">
              <w:rPr>
                <w:rFonts w:ascii="Verdana" w:hAnsi="Verdana"/>
                <w:noProof/>
                <w:sz w:val="20"/>
                <w:szCs w:val="20"/>
              </w:rPr>
              <w:t>False</w:t>
            </w: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p>
          <w:p w:rsidR="00AF6E2D" w:rsidRPr="00AF6E2D" w:rsidRDefault="00AF6E2D" w:rsidP="001F4FCE">
            <w:pPr>
              <w:rPr>
                <w:rFonts w:ascii="Verdana" w:hAnsi="Verdana"/>
                <w:sz w:val="20"/>
                <w:szCs w:val="20"/>
              </w:rPr>
            </w:pPr>
          </w:p>
        </w:tc>
        <w:tc>
          <w:tcPr>
            <w:tcW w:w="10632" w:type="dxa"/>
            <w:gridSpan w:val="2"/>
          </w:tcPr>
          <w:p w:rsidR="00AF6E2D" w:rsidRPr="00AF6E2D" w:rsidRDefault="00AF6E2D" w:rsidP="001F4FCE">
            <w:pPr>
              <w:rPr>
                <w:rFonts w:ascii="Verdana" w:hAnsi="Verdana"/>
                <w:b/>
                <w:sz w:val="20"/>
                <w:szCs w:val="20"/>
              </w:rPr>
            </w:pPr>
            <w:r w:rsidRPr="00AF6E2D">
              <w:rPr>
                <w:rFonts w:ascii="Verdana" w:hAnsi="Verdana"/>
                <w:b/>
                <w:sz w:val="20"/>
                <w:szCs w:val="20"/>
              </w:rPr>
              <w:t>Comment:</w:t>
            </w:r>
          </w:p>
          <w:p w:rsidR="00AF6E2D" w:rsidRPr="00AF6E2D" w:rsidRDefault="00AF6E2D" w:rsidP="001F4FCE">
            <w:pPr>
              <w:rPr>
                <w:rFonts w:ascii="Verdana" w:hAnsi="Verdana"/>
                <w:noProof/>
                <w:sz w:val="20"/>
                <w:szCs w:val="20"/>
              </w:rPr>
            </w:pPr>
            <w:r w:rsidRPr="00AF6E2D">
              <w:rPr>
                <w:rFonts w:ascii="Verdana" w:hAnsi="Verdana"/>
                <w:noProof/>
                <w:sz w:val="20"/>
                <w:szCs w:val="20"/>
              </w:rPr>
              <w:t>Dear Sirs,</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with reference to SEAC draft opinion of 10th September 2014 on 1-methyl-2-pyrrolidone (NMP) restriction proposal, we would like to point out that application of the DNEL values proposed by RAC would have a great impact in several sectors (especially in wire coating sector) since till now the workers DNEL for inhalation route reported on the currently available e-SDS for NMP is 40 mg/m3 (TWA) - which is equivalent to the EU OEL for this substance - and the workers DNEL for dermal route is 19.8 mg/kg bw/day with the exposure scenarios setting OC/RMM to be below these limits. </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The new DNEL values proposed by RAC (10 mg/m3 for workers inhalation route and 4.8 mg/kg bw/day for workers dermal route) would impose relevant changes in the set of OC/RMM to be applied by downstream users. In fact it should be highlighted that when this restriction will become legally binding, also the exposure scenarios (and exposure estimation) attached to the SDS will have to be updated to guarantee the safe use with RCR &lt; 1. In this situation the updated exposure scenarios and related exposure estimation from TIER 1 tools (typical approach used by REACH registrants for their CSR) set to obtain RCR &lt; 1 (when comparing the exposure estimation with these DNEL values proposed) could be over-conservative and unrealistic to apply for DU of several sectors, with unsustainable costs for new RMM implementation especially for SME. Also following the approach stated on ECHA Guideline for DU (in case of “dismatching” between the set of OC/RMM for the exposure scenario and the real OC/RMM of the DU), with the starting request to the registrant above in the supply chain for an update of these exposure scenarios and for a more realistic exposure estimation (i.e. using more complex TIER 2 tools), in many cases will not obtain a positive result, since in EU only a few EU based companies are able to modify a “standard CSR” purchased by co-registrants of a joint submission via a letter of access. So in many situations there will be a relevant waste of time and effort only to obtain a negative feedback by the registrant above in the supply </w:t>
            </w:r>
            <w:r w:rsidRPr="00AF6E2D">
              <w:rPr>
                <w:rFonts w:ascii="Verdana" w:hAnsi="Verdana"/>
                <w:noProof/>
                <w:sz w:val="20"/>
                <w:szCs w:val="20"/>
              </w:rPr>
              <w:lastRenderedPageBreak/>
              <w:t xml:space="preserve">chain. </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For the same reason also the following step with research of an alternative supplier, which could guarantee the creation of realistic exposure scenarios and exposure estimation (which give an RCR &lt; 1 with these new DNEL values), would be very difficult and would be very long due to commercial and practical issues. </w:t>
            </w:r>
          </w:p>
          <w:p w:rsidR="00AF6E2D" w:rsidRPr="00AF6E2D" w:rsidRDefault="00AF6E2D" w:rsidP="001F4FCE">
            <w:pPr>
              <w:rPr>
                <w:rFonts w:ascii="Verdana" w:hAnsi="Verdana"/>
                <w:noProof/>
                <w:sz w:val="20"/>
                <w:szCs w:val="20"/>
              </w:rPr>
            </w:pPr>
            <w:r w:rsidRPr="00AF6E2D">
              <w:rPr>
                <w:rFonts w:ascii="Verdana" w:hAnsi="Verdana"/>
                <w:noProof/>
                <w:sz w:val="20"/>
                <w:szCs w:val="20"/>
              </w:rPr>
              <w:t xml:space="preserve">In this hypothetical situation also the possibility of a DU CSR is not technically and economically sustainable for most of EU downstream users (especially SMEs). </w:t>
            </w:r>
          </w:p>
          <w:p w:rsidR="00AF6E2D" w:rsidRPr="00AF6E2D" w:rsidRDefault="00AF6E2D" w:rsidP="001F4FCE">
            <w:pPr>
              <w:rPr>
                <w:rFonts w:ascii="Verdana" w:hAnsi="Verdana"/>
                <w:noProof/>
                <w:sz w:val="20"/>
                <w:szCs w:val="20"/>
              </w:rPr>
            </w:pPr>
            <w:r w:rsidRPr="00AF6E2D">
              <w:rPr>
                <w:rFonts w:ascii="Verdana" w:hAnsi="Verdana"/>
                <w:noProof/>
                <w:sz w:val="20"/>
                <w:szCs w:val="20"/>
              </w:rPr>
              <w:t>For this reason many companies, operating in sectors where NMP is used and where no realistic technical/economical alternative is available (especially in wire enameling sector), realistically will not be able to be compliant with these new DNEL values and could also decide to drop out of their business with relevant consequences for loss of many people job and related socio-economic consequences, in particular for countries with high number of SMEs.</w:t>
            </w:r>
          </w:p>
          <w:p w:rsidR="00AF6E2D" w:rsidRPr="00AF6E2D" w:rsidRDefault="00AF6E2D" w:rsidP="001F4FCE">
            <w:pPr>
              <w:rPr>
                <w:rFonts w:ascii="Verdana" w:hAnsi="Verdana"/>
                <w:noProof/>
                <w:sz w:val="20"/>
                <w:szCs w:val="20"/>
              </w:rPr>
            </w:pPr>
            <w:r w:rsidRPr="00AF6E2D">
              <w:rPr>
                <w:rFonts w:ascii="Verdana" w:hAnsi="Verdana"/>
                <w:noProof/>
                <w:sz w:val="20"/>
                <w:szCs w:val="20"/>
              </w:rPr>
              <w:t>Since no alternative RMO is acceptable (because the alternatives would even have a deeper socio-economic impact on EU companies using NMP), in our opinion at least an appropriate time lapse should be provided so that the EU DU (in particular SMEs) will be able to invest money to modify their RMM to be lower these new limits. Considering the current historical moment and the deep economic crisis ongoing in most of EU countries, in our opinion this time lapse should be longer than 60 months after the inclusion into Annex XVII of REACH proposed by DS for the above mentioned elements.</w:t>
            </w:r>
          </w:p>
          <w:p w:rsidR="00AF6E2D" w:rsidRPr="00AF6E2D" w:rsidRDefault="00AF6E2D" w:rsidP="001F4FCE">
            <w:pPr>
              <w:rPr>
                <w:rFonts w:ascii="Verdana" w:hAnsi="Verdana"/>
                <w:noProof/>
                <w:sz w:val="20"/>
                <w:szCs w:val="20"/>
              </w:rPr>
            </w:pPr>
            <w:r w:rsidRPr="00AF6E2D">
              <w:rPr>
                <w:rFonts w:ascii="Verdana" w:hAnsi="Verdana"/>
                <w:noProof/>
                <w:sz w:val="20"/>
                <w:szCs w:val="20"/>
              </w:rPr>
              <w:t>Another relevant point is related to the fact the new DNEL values proposed by RAC was set to protect pregnant women due to reprotoxic properties of NMP.  As stated by EWWG, in wire enameling sector for sites employing about 1000 workers, only 1 woman is employed in the process. On the basis of this analysis it seems more appropriate/proportional to asks EU companies to set and apply specific standard operative procedure to guarantee women are not exposed for process where NMP is used (in compliance with national worker protection legislation), instead of modifying deeply the process with the related economic impact especially for SME.</w:t>
            </w:r>
          </w:p>
          <w:p w:rsidR="00AF6E2D" w:rsidRPr="00AF6E2D" w:rsidRDefault="00AF6E2D" w:rsidP="001F4FCE">
            <w:pPr>
              <w:rPr>
                <w:rFonts w:ascii="Verdana" w:hAnsi="Verdana"/>
                <w:noProof/>
                <w:sz w:val="20"/>
                <w:szCs w:val="20"/>
              </w:rPr>
            </w:pPr>
            <w:r w:rsidRPr="00AF6E2D">
              <w:rPr>
                <w:rFonts w:ascii="Verdana" w:hAnsi="Verdana"/>
                <w:noProof/>
                <w:sz w:val="20"/>
                <w:szCs w:val="20"/>
              </w:rPr>
              <w:t>With best regards,</w:t>
            </w:r>
          </w:p>
          <w:p w:rsidR="00AF6E2D" w:rsidRPr="00AF6E2D" w:rsidRDefault="00AF6E2D" w:rsidP="001F4FCE">
            <w:pPr>
              <w:rPr>
                <w:rFonts w:ascii="Verdana" w:hAnsi="Verdana"/>
                <w:noProof/>
                <w:sz w:val="20"/>
                <w:szCs w:val="20"/>
              </w:rPr>
            </w:pPr>
            <w:r w:rsidRPr="00AF6E2D">
              <w:rPr>
                <w:rFonts w:ascii="Verdana" w:hAnsi="Verdana"/>
                <w:noProof/>
                <w:sz w:val="20"/>
                <w:szCs w:val="20"/>
              </w:rPr>
              <w:t>ELANTAS Italia S.r.l.</w:t>
            </w:r>
          </w:p>
          <w:p w:rsidR="00AF6E2D" w:rsidRPr="00AF6E2D" w:rsidRDefault="00AF6E2D" w:rsidP="001F4FCE">
            <w:pPr>
              <w:rPr>
                <w:rFonts w:ascii="Verdana" w:hAnsi="Verdana"/>
                <w:sz w:val="20"/>
                <w:szCs w:val="20"/>
              </w:rPr>
            </w:pPr>
          </w:p>
        </w:tc>
      </w:tr>
      <w:tr w:rsidR="00AF6E2D" w:rsidRPr="00AF6E2D" w:rsidTr="00452DEB">
        <w:tc>
          <w:tcPr>
            <w:tcW w:w="817" w:type="dxa"/>
            <w:vMerge/>
          </w:tcPr>
          <w:p w:rsidR="00AF6E2D" w:rsidRPr="00AF6E2D" w:rsidRDefault="00AF6E2D" w:rsidP="001F4FCE">
            <w:pPr>
              <w:rPr>
                <w:rFonts w:ascii="Verdana" w:hAnsi="Verdana"/>
                <w:sz w:val="20"/>
                <w:szCs w:val="20"/>
              </w:rPr>
            </w:pPr>
          </w:p>
        </w:tc>
        <w:tc>
          <w:tcPr>
            <w:tcW w:w="2693" w:type="dxa"/>
            <w:vMerge/>
          </w:tcPr>
          <w:p w:rsidR="00AF6E2D" w:rsidRPr="00AF6E2D" w:rsidRDefault="00AF6E2D" w:rsidP="001F4FCE">
            <w:pPr>
              <w:rPr>
                <w:rFonts w:ascii="Verdana" w:hAnsi="Verdana"/>
                <w:b/>
                <w:sz w:val="20"/>
                <w:szCs w:val="20"/>
              </w:rPr>
            </w:pPr>
          </w:p>
        </w:tc>
        <w:tc>
          <w:tcPr>
            <w:tcW w:w="10632" w:type="dxa"/>
            <w:gridSpan w:val="2"/>
          </w:tcPr>
          <w:p w:rsidR="00AF6E2D" w:rsidRPr="00AF6E2D" w:rsidRDefault="00AF6E2D" w:rsidP="001F4FCE">
            <w:pPr>
              <w:rPr>
                <w:rFonts w:ascii="Verdana" w:hAnsi="Verdana"/>
                <w:b/>
                <w:sz w:val="20"/>
                <w:szCs w:val="20"/>
              </w:rPr>
            </w:pPr>
            <w:r w:rsidRPr="00AF6E2D">
              <w:rPr>
                <w:rFonts w:ascii="Verdana" w:hAnsi="Verdana"/>
                <w:b/>
                <w:sz w:val="20"/>
                <w:szCs w:val="20"/>
              </w:rPr>
              <w:t>SEAC Rapporteurs response</w:t>
            </w:r>
          </w:p>
          <w:p w:rsidR="00884012" w:rsidRDefault="00884012" w:rsidP="000E3A6E">
            <w:pPr>
              <w:rPr>
                <w:rFonts w:ascii="Verdana" w:hAnsi="Verdana"/>
                <w:sz w:val="20"/>
                <w:szCs w:val="20"/>
              </w:rPr>
            </w:pPr>
            <w:r>
              <w:rPr>
                <w:rFonts w:ascii="Verdana" w:hAnsi="Verdana"/>
                <w:sz w:val="20"/>
                <w:szCs w:val="20"/>
              </w:rPr>
              <w:t xml:space="preserve">Thank you for the comment. We do not follow your argumentation that REACH registrants should be over-conservative in their recommendations for </w:t>
            </w:r>
            <w:r w:rsidR="00575A66">
              <w:rPr>
                <w:rFonts w:ascii="Verdana" w:hAnsi="Verdana"/>
                <w:sz w:val="20"/>
                <w:szCs w:val="20"/>
              </w:rPr>
              <w:t>r</w:t>
            </w:r>
            <w:r>
              <w:rPr>
                <w:rFonts w:ascii="Verdana" w:hAnsi="Verdana"/>
                <w:sz w:val="20"/>
                <w:szCs w:val="20"/>
              </w:rPr>
              <w:t xml:space="preserve">isk reduction </w:t>
            </w:r>
            <w:r w:rsidR="00575A66">
              <w:rPr>
                <w:rFonts w:ascii="Verdana" w:hAnsi="Verdana"/>
                <w:sz w:val="20"/>
                <w:szCs w:val="20"/>
              </w:rPr>
              <w:t>m</w:t>
            </w:r>
            <w:r>
              <w:rPr>
                <w:rFonts w:ascii="Verdana" w:hAnsi="Verdana"/>
                <w:sz w:val="20"/>
                <w:szCs w:val="20"/>
              </w:rPr>
              <w:t xml:space="preserve">easures. Objectively, </w:t>
            </w:r>
            <w:r w:rsidR="00575A66">
              <w:rPr>
                <w:rFonts w:ascii="Verdana" w:hAnsi="Verdana"/>
                <w:sz w:val="20"/>
                <w:szCs w:val="20"/>
              </w:rPr>
              <w:t>r</w:t>
            </w:r>
            <w:r>
              <w:rPr>
                <w:rFonts w:ascii="Verdana" w:hAnsi="Verdana"/>
                <w:sz w:val="20"/>
                <w:szCs w:val="20"/>
              </w:rPr>
              <w:t>egistrants should</w:t>
            </w:r>
            <w:r w:rsidR="000E3A6E">
              <w:rPr>
                <w:rFonts w:ascii="Verdana" w:hAnsi="Verdana"/>
                <w:sz w:val="20"/>
                <w:szCs w:val="20"/>
              </w:rPr>
              <w:t xml:space="preserve"> be </w:t>
            </w:r>
            <w:r>
              <w:rPr>
                <w:rFonts w:ascii="Verdana" w:hAnsi="Verdana"/>
                <w:sz w:val="20"/>
                <w:szCs w:val="20"/>
              </w:rPr>
              <w:t>most interest</w:t>
            </w:r>
            <w:r w:rsidR="000E3A6E">
              <w:rPr>
                <w:rFonts w:ascii="Verdana" w:hAnsi="Verdana"/>
                <w:sz w:val="20"/>
                <w:szCs w:val="20"/>
              </w:rPr>
              <w:t>ed</w:t>
            </w:r>
            <w:r>
              <w:rPr>
                <w:rFonts w:ascii="Verdana" w:hAnsi="Verdana"/>
                <w:sz w:val="20"/>
                <w:szCs w:val="20"/>
              </w:rPr>
              <w:t xml:space="preserve"> in making their substance/mixture as favourable as possible for the </w:t>
            </w:r>
            <w:r w:rsidR="000E3A6E">
              <w:rPr>
                <w:rFonts w:ascii="Verdana" w:hAnsi="Verdana"/>
                <w:sz w:val="20"/>
                <w:szCs w:val="20"/>
              </w:rPr>
              <w:t>downstream</w:t>
            </w:r>
            <w:r>
              <w:rPr>
                <w:rFonts w:ascii="Verdana" w:hAnsi="Verdana"/>
                <w:sz w:val="20"/>
                <w:szCs w:val="20"/>
              </w:rPr>
              <w:t xml:space="preserve"> users. In addition</w:t>
            </w:r>
            <w:r w:rsidR="00575A66">
              <w:rPr>
                <w:rFonts w:ascii="Verdana" w:hAnsi="Verdana"/>
                <w:sz w:val="20"/>
                <w:szCs w:val="20"/>
              </w:rPr>
              <w:t>,</w:t>
            </w:r>
            <w:r>
              <w:rPr>
                <w:rFonts w:ascii="Verdana" w:hAnsi="Verdana"/>
                <w:sz w:val="20"/>
                <w:szCs w:val="20"/>
              </w:rPr>
              <w:t xml:space="preserve"> we refer to our response to #132.   </w:t>
            </w:r>
          </w:p>
          <w:p w:rsidR="00575A66" w:rsidRPr="00884012" w:rsidRDefault="00575A66" w:rsidP="000E3A6E">
            <w:pPr>
              <w:rPr>
                <w:rFonts w:ascii="Verdana" w:hAnsi="Verdana"/>
                <w:sz w:val="20"/>
                <w:szCs w:val="20"/>
              </w:rPr>
            </w:pPr>
          </w:p>
        </w:tc>
      </w:tr>
      <w:tr w:rsidR="00452DEB" w:rsidTr="00452DEB">
        <w:tc>
          <w:tcPr>
            <w:tcW w:w="817" w:type="dxa"/>
            <w:vMerge w:val="restart"/>
          </w:tcPr>
          <w:p w:rsidR="00452DEB" w:rsidRPr="00452DEB" w:rsidRDefault="00452DEB" w:rsidP="001F4FCE">
            <w:pPr>
              <w:rPr>
                <w:rFonts w:ascii="Verdana" w:hAnsi="Verdana"/>
                <w:sz w:val="20"/>
              </w:rPr>
            </w:pPr>
            <w:r w:rsidRPr="00452DEB">
              <w:rPr>
                <w:rFonts w:ascii="Verdana" w:hAnsi="Verdana"/>
                <w:sz w:val="20"/>
              </w:rPr>
              <w:fldChar w:fldCharType="begin"/>
            </w:r>
            <w:r w:rsidRPr="00452DEB">
              <w:rPr>
                <w:rFonts w:ascii="Verdana" w:hAnsi="Verdana"/>
                <w:sz w:val="20"/>
              </w:rPr>
              <w:instrText xml:space="preserve"> MERGEFIELD ID </w:instrText>
            </w:r>
            <w:r w:rsidRPr="00452DEB">
              <w:rPr>
                <w:rFonts w:ascii="Verdana" w:hAnsi="Verdana"/>
                <w:sz w:val="20"/>
              </w:rPr>
              <w:fldChar w:fldCharType="separate"/>
            </w:r>
            <w:r w:rsidRPr="00452DEB">
              <w:rPr>
                <w:rFonts w:ascii="Verdana" w:hAnsi="Verdana"/>
                <w:noProof/>
                <w:sz w:val="20"/>
              </w:rPr>
              <w:t>134</w:t>
            </w:r>
            <w:r w:rsidRPr="00452DEB">
              <w:rPr>
                <w:rFonts w:ascii="Verdana" w:hAnsi="Verdana"/>
                <w:noProof/>
                <w:sz w:val="20"/>
              </w:rPr>
              <w:fldChar w:fldCharType="end"/>
            </w:r>
          </w:p>
        </w:tc>
        <w:tc>
          <w:tcPr>
            <w:tcW w:w="2693" w:type="dxa"/>
            <w:vMerge w:val="restart"/>
          </w:tcPr>
          <w:p w:rsidR="00452DEB" w:rsidRPr="00452DEB" w:rsidRDefault="00452DEB" w:rsidP="001F4FCE">
            <w:pPr>
              <w:rPr>
                <w:rFonts w:ascii="Verdana" w:hAnsi="Verdana"/>
                <w:sz w:val="20"/>
              </w:rPr>
            </w:pPr>
            <w:r w:rsidRPr="00452DEB">
              <w:rPr>
                <w:rFonts w:ascii="Verdana" w:hAnsi="Verdana"/>
                <w:b/>
                <w:sz w:val="20"/>
              </w:rPr>
              <w:t>Date/Time:</w:t>
            </w:r>
            <w:r w:rsidRPr="00452DEB">
              <w:rPr>
                <w:rFonts w:ascii="Verdana" w:hAnsi="Verdana"/>
                <w:sz w:val="20"/>
              </w:rPr>
              <w:t xml:space="preserve"> </w:t>
            </w:r>
            <w:r w:rsidRPr="00452DEB">
              <w:rPr>
                <w:rFonts w:ascii="Verdana" w:hAnsi="Verdana"/>
                <w:sz w:val="20"/>
              </w:rPr>
              <w:fldChar w:fldCharType="begin"/>
            </w:r>
            <w:r w:rsidRPr="00452DEB">
              <w:rPr>
                <w:rFonts w:ascii="Verdana" w:hAnsi="Verdana"/>
                <w:sz w:val="20"/>
              </w:rPr>
              <w:instrText xml:space="preserve"> MERGEFIELD Title </w:instrText>
            </w:r>
            <w:r w:rsidRPr="00452DEB">
              <w:rPr>
                <w:rFonts w:ascii="Verdana" w:hAnsi="Verdana"/>
                <w:sz w:val="20"/>
              </w:rPr>
              <w:fldChar w:fldCharType="separate"/>
            </w:r>
            <w:r w:rsidRPr="00452DEB">
              <w:rPr>
                <w:rFonts w:ascii="Verdana" w:hAnsi="Verdana"/>
                <w:noProof/>
                <w:sz w:val="20"/>
              </w:rPr>
              <w:t>2014/11/17 10:55</w:t>
            </w:r>
            <w:r w:rsidRPr="00452DEB">
              <w:rPr>
                <w:rFonts w:ascii="Verdana" w:hAnsi="Verdana"/>
                <w:noProof/>
                <w:sz w:val="20"/>
              </w:rPr>
              <w:fldChar w:fldCharType="end"/>
            </w:r>
          </w:p>
          <w:p w:rsidR="00452DEB" w:rsidRPr="00452DEB" w:rsidRDefault="00452DEB" w:rsidP="001F4FCE">
            <w:pPr>
              <w:rPr>
                <w:rFonts w:ascii="Verdana" w:hAnsi="Verdana"/>
                <w:sz w:val="20"/>
              </w:rPr>
            </w:pPr>
          </w:p>
          <w:p w:rsidR="00452DEB" w:rsidRPr="00452DEB" w:rsidRDefault="00452DEB" w:rsidP="001F4FCE">
            <w:pPr>
              <w:rPr>
                <w:rFonts w:ascii="Verdana" w:hAnsi="Verdana"/>
                <w:sz w:val="20"/>
              </w:rPr>
            </w:pPr>
            <w:r w:rsidRPr="00452DEB">
              <w:rPr>
                <w:rFonts w:ascii="Verdana" w:hAnsi="Verdana"/>
                <w:b/>
                <w:sz w:val="20"/>
              </w:rPr>
              <w:t>Type:</w:t>
            </w:r>
            <w:r w:rsidRPr="00452DEB">
              <w:rPr>
                <w:rFonts w:ascii="Verdana" w:hAnsi="Verdana"/>
                <w:sz w:val="20"/>
              </w:rPr>
              <w:t xml:space="preserve"> </w:t>
            </w:r>
            <w:r w:rsidRPr="00452DEB">
              <w:rPr>
                <w:rFonts w:ascii="Verdana" w:hAnsi="Verdana"/>
                <w:sz w:val="20"/>
              </w:rPr>
              <w:fldChar w:fldCharType="begin"/>
            </w:r>
            <w:r w:rsidRPr="00452DEB">
              <w:rPr>
                <w:rFonts w:ascii="Verdana" w:hAnsi="Verdana"/>
                <w:sz w:val="20"/>
              </w:rPr>
              <w:instrText xml:space="preserve"> MERGEFIELD OrganisationType </w:instrText>
            </w:r>
            <w:r w:rsidRPr="00452DEB">
              <w:rPr>
                <w:rFonts w:ascii="Verdana" w:hAnsi="Verdana"/>
                <w:sz w:val="20"/>
              </w:rPr>
              <w:fldChar w:fldCharType="separate"/>
            </w:r>
            <w:r w:rsidRPr="00452DEB">
              <w:rPr>
                <w:rFonts w:ascii="Verdana" w:hAnsi="Verdana"/>
                <w:noProof/>
                <w:sz w:val="20"/>
              </w:rPr>
              <w:t>Company-Manufacturer</w:t>
            </w:r>
            <w:r w:rsidRPr="00452DEB">
              <w:rPr>
                <w:rFonts w:ascii="Verdana" w:hAnsi="Verdana"/>
                <w:noProof/>
                <w:sz w:val="20"/>
              </w:rPr>
              <w:fldChar w:fldCharType="end"/>
            </w:r>
          </w:p>
          <w:p w:rsidR="00452DEB" w:rsidRPr="00452DEB" w:rsidRDefault="00452DEB" w:rsidP="001F4FCE">
            <w:pPr>
              <w:rPr>
                <w:rFonts w:ascii="Verdana" w:hAnsi="Verdana"/>
                <w:sz w:val="20"/>
              </w:rPr>
            </w:pPr>
          </w:p>
          <w:p w:rsidR="00452DEB" w:rsidRPr="00452DEB" w:rsidRDefault="00452DEB" w:rsidP="001F4FCE">
            <w:pPr>
              <w:rPr>
                <w:rFonts w:ascii="Verdana" w:hAnsi="Verdana"/>
                <w:noProof/>
                <w:sz w:val="20"/>
              </w:rPr>
            </w:pPr>
            <w:r w:rsidRPr="00452DEB">
              <w:rPr>
                <w:rFonts w:ascii="Verdana" w:hAnsi="Verdana"/>
                <w:b/>
                <w:sz w:val="20"/>
              </w:rPr>
              <w:t xml:space="preserve">Country: </w:t>
            </w:r>
            <w:r w:rsidRPr="00452DEB">
              <w:rPr>
                <w:rFonts w:ascii="Verdana" w:hAnsi="Verdana"/>
                <w:sz w:val="20"/>
              </w:rPr>
              <w:fldChar w:fldCharType="begin"/>
            </w:r>
            <w:r w:rsidRPr="00452DEB">
              <w:rPr>
                <w:rFonts w:ascii="Verdana" w:hAnsi="Verdana"/>
                <w:sz w:val="20"/>
              </w:rPr>
              <w:instrText xml:space="preserve"> MERGEFIELD OrganisationCountry </w:instrText>
            </w:r>
            <w:r w:rsidRPr="00452DEB">
              <w:rPr>
                <w:rFonts w:ascii="Verdana" w:hAnsi="Verdana"/>
                <w:sz w:val="20"/>
              </w:rPr>
              <w:fldChar w:fldCharType="separate"/>
            </w:r>
            <w:r w:rsidRPr="00452DEB">
              <w:rPr>
                <w:rFonts w:ascii="Verdana" w:hAnsi="Verdana"/>
                <w:noProof/>
                <w:sz w:val="20"/>
              </w:rPr>
              <w:t>Japan</w:t>
            </w:r>
            <w:r w:rsidRPr="00452DEB">
              <w:rPr>
                <w:rFonts w:ascii="Verdana" w:hAnsi="Verdana"/>
                <w:noProof/>
                <w:sz w:val="20"/>
              </w:rPr>
              <w:fldChar w:fldCharType="end"/>
            </w:r>
          </w:p>
          <w:p w:rsidR="00452DEB" w:rsidRPr="00452DEB" w:rsidRDefault="00452DEB" w:rsidP="001F4FCE">
            <w:pPr>
              <w:rPr>
                <w:rFonts w:ascii="Verdana" w:hAnsi="Verdana"/>
                <w:noProof/>
                <w:sz w:val="20"/>
              </w:rPr>
            </w:pPr>
          </w:p>
          <w:p w:rsidR="00452DEB" w:rsidRDefault="00452DEB" w:rsidP="001F4FCE">
            <w:pPr>
              <w:rPr>
                <w:rFonts w:ascii="Verdana" w:hAnsi="Verdana"/>
                <w:noProof/>
                <w:sz w:val="20"/>
              </w:rPr>
            </w:pPr>
            <w:r w:rsidRPr="00452DEB">
              <w:rPr>
                <w:rFonts w:ascii="Verdana" w:hAnsi="Verdana"/>
                <w:b/>
                <w:noProof/>
                <w:sz w:val="20"/>
              </w:rPr>
              <w:t xml:space="preserve">Name confidential: </w:t>
            </w:r>
            <w:r w:rsidRPr="00452DEB">
              <w:rPr>
                <w:rFonts w:ascii="Verdana" w:hAnsi="Verdana"/>
                <w:noProof/>
                <w:sz w:val="20"/>
              </w:rPr>
              <w:fldChar w:fldCharType="begin"/>
            </w:r>
            <w:r w:rsidRPr="00452DEB">
              <w:rPr>
                <w:rFonts w:ascii="Verdana" w:hAnsi="Verdana"/>
                <w:noProof/>
                <w:sz w:val="20"/>
              </w:rPr>
              <w:instrText xml:space="preserve"> MERGEFIELD DontDiscloseNameIfPublished </w:instrText>
            </w:r>
            <w:r w:rsidRPr="00452DEB">
              <w:rPr>
                <w:rFonts w:ascii="Verdana" w:hAnsi="Verdana"/>
                <w:noProof/>
                <w:sz w:val="20"/>
              </w:rPr>
              <w:fldChar w:fldCharType="separate"/>
            </w:r>
            <w:r w:rsidRPr="00452DEB">
              <w:rPr>
                <w:rFonts w:ascii="Verdana" w:hAnsi="Verdana"/>
                <w:noProof/>
                <w:sz w:val="20"/>
              </w:rPr>
              <w:t>False</w:t>
            </w:r>
            <w:r w:rsidRPr="00452DEB">
              <w:rPr>
                <w:rFonts w:ascii="Verdana" w:hAnsi="Verdana"/>
                <w:noProof/>
                <w:sz w:val="20"/>
              </w:rPr>
              <w:fldChar w:fldCharType="end"/>
            </w:r>
          </w:p>
          <w:p w:rsidR="00452DEB" w:rsidRDefault="00452DEB" w:rsidP="001F4FCE">
            <w:pPr>
              <w:rPr>
                <w:rFonts w:ascii="Verdana" w:hAnsi="Verdana"/>
                <w:noProof/>
                <w:sz w:val="20"/>
              </w:rPr>
            </w:pPr>
          </w:p>
          <w:p w:rsidR="00452DEB" w:rsidRDefault="00D3092C" w:rsidP="00035E2C">
            <w:pPr>
              <w:rPr>
                <w:rFonts w:ascii="Verdana" w:hAnsi="Verdana"/>
                <w:noProof/>
                <w:color w:val="FF0000"/>
                <w:sz w:val="20"/>
                <w:szCs w:val="20"/>
              </w:rPr>
            </w:pPr>
            <w:r w:rsidRPr="000E16C1">
              <w:rPr>
                <w:rFonts w:ascii="Verdana" w:hAnsi="Verdana"/>
                <w:b/>
                <w:noProof/>
                <w:sz w:val="20"/>
                <w:szCs w:val="20"/>
              </w:rPr>
              <w:t>Attachment</w:t>
            </w:r>
            <w:r>
              <w:rPr>
                <w:rFonts w:ascii="Verdana" w:hAnsi="Verdana"/>
                <w:b/>
                <w:noProof/>
                <w:sz w:val="20"/>
                <w:szCs w:val="20"/>
              </w:rPr>
              <w:t xml:space="preserve"> confidential</w:t>
            </w:r>
            <w:r w:rsidRPr="000E16C1">
              <w:rPr>
                <w:rFonts w:ascii="Verdana" w:hAnsi="Verdana"/>
                <w:b/>
                <w:noProof/>
                <w:sz w:val="20"/>
                <w:szCs w:val="20"/>
              </w:rPr>
              <w:t>:</w:t>
            </w:r>
            <w:r>
              <w:rPr>
                <w:rFonts w:ascii="Verdana" w:hAnsi="Verdana"/>
                <w:b/>
                <w:noProof/>
                <w:sz w:val="20"/>
                <w:szCs w:val="20"/>
              </w:rPr>
              <w:t xml:space="preserve"> </w:t>
            </w:r>
            <w:r w:rsidR="00A80F93" w:rsidRPr="00D3092C">
              <w:rPr>
                <w:rFonts w:ascii="Verdana" w:hAnsi="Verdana"/>
                <w:noProof/>
                <w:color w:val="FF0000"/>
                <w:sz w:val="20"/>
                <w:szCs w:val="20"/>
              </w:rPr>
              <w:t>True</w:t>
            </w:r>
            <w:r w:rsidR="00A80F93">
              <w:rPr>
                <w:rFonts w:ascii="Verdana" w:hAnsi="Verdana"/>
                <w:noProof/>
                <w:color w:val="FF0000"/>
                <w:sz w:val="20"/>
                <w:szCs w:val="20"/>
              </w:rPr>
              <w:t xml:space="preserve"> (available from confidential table)</w:t>
            </w:r>
          </w:p>
          <w:p w:rsidR="00035E2C" w:rsidRPr="00452DEB" w:rsidRDefault="00035E2C" w:rsidP="00035E2C">
            <w:pPr>
              <w:rPr>
                <w:rFonts w:ascii="Verdana" w:hAnsi="Verdana"/>
                <w:sz w:val="20"/>
              </w:rPr>
            </w:pPr>
          </w:p>
        </w:tc>
        <w:tc>
          <w:tcPr>
            <w:tcW w:w="10632" w:type="dxa"/>
            <w:gridSpan w:val="2"/>
          </w:tcPr>
          <w:p w:rsidR="00452DEB" w:rsidRPr="00452DEB" w:rsidRDefault="00452DEB" w:rsidP="001F4FCE">
            <w:pPr>
              <w:rPr>
                <w:rFonts w:ascii="Verdana" w:hAnsi="Verdana"/>
                <w:b/>
                <w:sz w:val="20"/>
              </w:rPr>
            </w:pPr>
            <w:r w:rsidRPr="00452DEB">
              <w:rPr>
                <w:rFonts w:ascii="Verdana" w:hAnsi="Verdana"/>
                <w:b/>
                <w:sz w:val="20"/>
              </w:rPr>
              <w:lastRenderedPageBreak/>
              <w:t>Comment:</w:t>
            </w:r>
          </w:p>
          <w:p w:rsidR="00452DEB" w:rsidRDefault="00452DEB" w:rsidP="001F4FCE">
            <w:pPr>
              <w:rPr>
                <w:rFonts w:ascii="Verdana" w:hAnsi="Verdana"/>
                <w:noProof/>
                <w:sz w:val="20"/>
              </w:rPr>
            </w:pPr>
            <w:r w:rsidRPr="00452DEB">
              <w:rPr>
                <w:rFonts w:ascii="Verdana" w:hAnsi="Verdana"/>
                <w:sz w:val="20"/>
              </w:rPr>
              <w:fldChar w:fldCharType="begin"/>
            </w:r>
            <w:r w:rsidRPr="00452DEB">
              <w:rPr>
                <w:rFonts w:ascii="Verdana" w:hAnsi="Verdana"/>
                <w:sz w:val="20"/>
              </w:rPr>
              <w:instrText xml:space="preserve"> MERGEFIELD Comments_on_the_SEAC_draft_opinion </w:instrText>
            </w:r>
            <w:r w:rsidRPr="00452DEB">
              <w:rPr>
                <w:rFonts w:ascii="Verdana" w:hAnsi="Verdana"/>
                <w:sz w:val="20"/>
              </w:rPr>
              <w:fldChar w:fldCharType="separate"/>
            </w:r>
            <w:r w:rsidRPr="00452DEB">
              <w:rPr>
                <w:rFonts w:ascii="Verdana" w:hAnsi="Verdana"/>
                <w:noProof/>
                <w:sz w:val="20"/>
              </w:rPr>
              <w:t xml:space="preserve">Confidential comments have been submitted via email on 14 November. These supplement the public </w:t>
            </w:r>
            <w:r w:rsidRPr="00452DEB">
              <w:rPr>
                <w:rFonts w:ascii="Verdana" w:hAnsi="Verdana"/>
                <w:noProof/>
                <w:sz w:val="20"/>
              </w:rPr>
              <w:lastRenderedPageBreak/>
              <w:t>statement made on behalf of the DMSO consortium on the same day.</w:t>
            </w:r>
            <w:r w:rsidRPr="00452DEB">
              <w:rPr>
                <w:rFonts w:ascii="Verdana" w:hAnsi="Verdana"/>
                <w:noProof/>
                <w:sz w:val="20"/>
              </w:rPr>
              <w:fldChar w:fldCharType="end"/>
            </w:r>
          </w:p>
          <w:p w:rsidR="00452DEB" w:rsidRPr="00452DEB" w:rsidRDefault="00452DEB" w:rsidP="001F4FCE">
            <w:pPr>
              <w:rPr>
                <w:rFonts w:ascii="Verdana" w:hAnsi="Verdana"/>
                <w:sz w:val="20"/>
              </w:rPr>
            </w:pPr>
          </w:p>
        </w:tc>
      </w:tr>
      <w:tr w:rsidR="00452DEB" w:rsidTr="00452DEB">
        <w:tc>
          <w:tcPr>
            <w:tcW w:w="817" w:type="dxa"/>
            <w:vMerge/>
          </w:tcPr>
          <w:p w:rsidR="00452DEB" w:rsidRPr="00452DEB" w:rsidRDefault="00452DEB" w:rsidP="001F4FCE">
            <w:pPr>
              <w:rPr>
                <w:rFonts w:ascii="Verdana" w:hAnsi="Verdana"/>
                <w:sz w:val="20"/>
              </w:rPr>
            </w:pPr>
          </w:p>
        </w:tc>
        <w:tc>
          <w:tcPr>
            <w:tcW w:w="2693" w:type="dxa"/>
            <w:vMerge/>
          </w:tcPr>
          <w:p w:rsidR="00452DEB" w:rsidRPr="00452DEB" w:rsidRDefault="00452DEB" w:rsidP="001F4FCE">
            <w:pPr>
              <w:rPr>
                <w:rFonts w:ascii="Verdana" w:hAnsi="Verdana"/>
                <w:b/>
                <w:sz w:val="20"/>
              </w:rPr>
            </w:pPr>
          </w:p>
        </w:tc>
        <w:tc>
          <w:tcPr>
            <w:tcW w:w="10632" w:type="dxa"/>
            <w:gridSpan w:val="2"/>
          </w:tcPr>
          <w:p w:rsidR="00452DEB" w:rsidRPr="00452DEB" w:rsidRDefault="00452DEB" w:rsidP="001F4FCE">
            <w:pPr>
              <w:rPr>
                <w:rFonts w:ascii="Verdana" w:hAnsi="Verdana"/>
                <w:b/>
                <w:sz w:val="20"/>
              </w:rPr>
            </w:pPr>
            <w:r w:rsidRPr="00452DEB">
              <w:rPr>
                <w:rFonts w:ascii="Verdana" w:hAnsi="Verdana"/>
                <w:b/>
                <w:sz w:val="20"/>
              </w:rPr>
              <w:t>SEAC Rapporteurs response</w:t>
            </w:r>
          </w:p>
          <w:p w:rsidR="00452DEB" w:rsidRPr="00353B3C" w:rsidRDefault="00884012" w:rsidP="00353B3C">
            <w:pPr>
              <w:rPr>
                <w:rFonts w:ascii="Verdana" w:hAnsi="Verdana"/>
                <w:sz w:val="20"/>
              </w:rPr>
            </w:pPr>
            <w:r>
              <w:rPr>
                <w:rFonts w:ascii="Verdana" w:hAnsi="Verdana"/>
                <w:sz w:val="20"/>
              </w:rPr>
              <w:t xml:space="preserve">Thank you for the comment. </w:t>
            </w:r>
            <w:r>
              <w:rPr>
                <w:rFonts w:ascii="Verdana" w:hAnsi="Verdana"/>
                <w:sz w:val="20"/>
                <w:szCs w:val="20"/>
              </w:rPr>
              <w:t xml:space="preserve">We </w:t>
            </w:r>
            <w:r w:rsidR="00BA11B0">
              <w:rPr>
                <w:rFonts w:ascii="Verdana" w:hAnsi="Verdana"/>
                <w:sz w:val="20"/>
                <w:szCs w:val="20"/>
              </w:rPr>
              <w:t>agree</w:t>
            </w:r>
            <w:r>
              <w:rPr>
                <w:rFonts w:ascii="Verdana" w:hAnsi="Verdana"/>
                <w:sz w:val="20"/>
                <w:szCs w:val="20"/>
              </w:rPr>
              <w:t xml:space="preserve"> that the description of DMSO in the BD could be considered as biased, especially with regard to the economic feasibility. However, for some uses, especially for wire coating, European experience on the use of DMSO</w:t>
            </w:r>
            <w:r w:rsidR="00BA11B0">
              <w:rPr>
                <w:rFonts w:ascii="Verdana" w:hAnsi="Verdana"/>
                <w:sz w:val="20"/>
                <w:szCs w:val="20"/>
              </w:rPr>
              <w:t xml:space="preserve"> seems to be lacking</w:t>
            </w:r>
            <w:r>
              <w:rPr>
                <w:rFonts w:ascii="Verdana" w:hAnsi="Verdana"/>
                <w:sz w:val="20"/>
                <w:szCs w:val="20"/>
              </w:rPr>
              <w:t xml:space="preserve">. </w:t>
            </w:r>
            <w:r w:rsidRPr="00353B3C">
              <w:rPr>
                <w:rFonts w:ascii="Verdana" w:hAnsi="Verdana"/>
                <w:sz w:val="20"/>
                <w:szCs w:val="20"/>
              </w:rPr>
              <w:t xml:space="preserve">In </w:t>
            </w:r>
            <w:r w:rsidR="00353B3C">
              <w:rPr>
                <w:rFonts w:ascii="Verdana" w:hAnsi="Verdana"/>
                <w:sz w:val="20"/>
                <w:szCs w:val="20"/>
              </w:rPr>
              <w:t xml:space="preserve">a </w:t>
            </w:r>
            <w:r w:rsidRPr="00353B3C">
              <w:rPr>
                <w:rFonts w:ascii="Verdana" w:hAnsi="Verdana"/>
                <w:sz w:val="20"/>
                <w:szCs w:val="20"/>
              </w:rPr>
              <w:t xml:space="preserve">footnote in the background document </w:t>
            </w:r>
            <w:r w:rsidR="00353B3C">
              <w:rPr>
                <w:rFonts w:ascii="Verdana" w:hAnsi="Verdana"/>
                <w:sz w:val="20"/>
                <w:szCs w:val="20"/>
              </w:rPr>
              <w:t xml:space="preserve">we have reflected </w:t>
            </w:r>
            <w:r w:rsidRPr="00353B3C">
              <w:rPr>
                <w:rFonts w:ascii="Verdana" w:hAnsi="Verdana"/>
                <w:sz w:val="20"/>
                <w:szCs w:val="20"/>
              </w:rPr>
              <w:t>that information has been submitted by manufacturers of DMSO with reference to downstream users which demonstrates that DMSO seems to be suitable alternative in a number of uses, and that there is no basis for stating that it is believed that due to [both toxic and] economic considerations industry would have replaced NMP if possible.</w:t>
            </w:r>
          </w:p>
        </w:tc>
      </w:tr>
    </w:tbl>
    <w:p w:rsidR="00452DEB" w:rsidRDefault="00452DEB" w:rsidP="00452DEB"/>
    <w:p w:rsidR="00861D1F" w:rsidRPr="00AF6E2D" w:rsidRDefault="00861D1F">
      <w:pPr>
        <w:rPr>
          <w:rFonts w:ascii="Verdana" w:hAnsi="Verdana"/>
          <w:sz w:val="20"/>
          <w:szCs w:val="20"/>
        </w:rPr>
      </w:pPr>
    </w:p>
    <w:sectPr w:rsidR="00861D1F" w:rsidRPr="00AF6E2D" w:rsidSect="00861D1F">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588" w:rsidRDefault="00180588" w:rsidP="004E600F">
      <w:r>
        <w:separator/>
      </w:r>
    </w:p>
  </w:endnote>
  <w:endnote w:type="continuationSeparator" w:id="0">
    <w:p w:rsidR="00180588" w:rsidRDefault="00180588" w:rsidP="004E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B2" w:rsidRDefault="00596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588" w:rsidRDefault="00180588" w:rsidP="006A268A">
    <w:pPr>
      <w:pStyle w:val="Footer"/>
      <w:jc w:val="center"/>
    </w:pPr>
    <w:r w:rsidRPr="006A268A">
      <w:rPr>
        <w:lang w:val="fi-FI"/>
      </w:rPr>
      <w:t xml:space="preserve">Annankatu 18, P.O. Box 400, FI-00121 Helsinki, Finland | Tel. </w:t>
    </w:r>
    <w:r w:rsidRPr="006A268A">
      <w:t>+358 9 686180 | Fax +358 9 68618210 | echa.europa.eu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588" w:rsidRPr="003B6D57" w:rsidRDefault="00180588" w:rsidP="003B6D57">
    <w:pPr>
      <w:pStyle w:val="Footer"/>
      <w:jc w:val="right"/>
      <w:rPr>
        <w:sz w:val="16"/>
      </w:rPr>
    </w:pPr>
    <w:r w:rsidRPr="003B6D57">
      <w:rPr>
        <w:sz w:val="16"/>
      </w:rPr>
      <w:fldChar w:fldCharType="begin"/>
    </w:r>
    <w:r w:rsidRPr="003B6D57">
      <w:rPr>
        <w:sz w:val="16"/>
      </w:rPr>
      <w:instrText xml:space="preserve"> PAGE   \* MERGEFORMAT </w:instrText>
    </w:r>
    <w:r w:rsidRPr="003B6D57">
      <w:rPr>
        <w:sz w:val="16"/>
      </w:rPr>
      <w:fldChar w:fldCharType="separate"/>
    </w:r>
    <w:r w:rsidR="004401FB">
      <w:rPr>
        <w:noProof/>
        <w:sz w:val="16"/>
      </w:rPr>
      <w:t>2</w:t>
    </w:r>
    <w:r w:rsidRPr="003B6D57">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588" w:rsidRDefault="00180588" w:rsidP="004E600F">
      <w:r>
        <w:separator/>
      </w:r>
    </w:p>
  </w:footnote>
  <w:footnote w:type="continuationSeparator" w:id="0">
    <w:p w:rsidR="00180588" w:rsidRDefault="00180588" w:rsidP="004E6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B2" w:rsidRDefault="00596A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588" w:rsidRPr="00B904DC" w:rsidRDefault="00180588">
    <w:pPr>
      <w:pStyle w:val="Header"/>
    </w:pPr>
  </w:p>
  <w:p w:rsidR="00180588" w:rsidRPr="00B904DC" w:rsidRDefault="00180588">
    <w:pPr>
      <w:pStyle w:val="Header"/>
    </w:pPr>
  </w:p>
  <w:p w:rsidR="00180588" w:rsidRPr="00B904DC" w:rsidRDefault="001805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1" w:type="pct"/>
      <w:tblInd w:w="-34" w:type="dxa"/>
      <w:tblLook w:val="01E0" w:firstRow="1" w:lastRow="1" w:firstColumn="1" w:lastColumn="1" w:noHBand="0" w:noVBand="0"/>
    </w:tblPr>
    <w:tblGrid>
      <w:gridCol w:w="6238"/>
      <w:gridCol w:w="7939"/>
    </w:tblGrid>
    <w:tr w:rsidR="00180588" w:rsidRPr="00B904DC" w:rsidTr="00AE2999">
      <w:tc>
        <w:tcPr>
          <w:tcW w:w="2200" w:type="pct"/>
          <w:shd w:val="clear" w:color="auto" w:fill="auto"/>
        </w:tcPr>
        <w:p w:rsidR="00180588" w:rsidRPr="00AE2999" w:rsidRDefault="00180588" w:rsidP="00861D1F">
          <w:pPr>
            <w:rPr>
              <w:rFonts w:ascii="Verdana" w:hAnsi="Verdana"/>
              <w:b/>
              <w:sz w:val="20"/>
              <w:szCs w:val="20"/>
            </w:rPr>
          </w:pPr>
          <w:r w:rsidRPr="00AE2999">
            <w:rPr>
              <w:rFonts w:ascii="Verdana" w:hAnsi="Verdana"/>
              <w:b/>
              <w:sz w:val="20"/>
              <w:szCs w:val="20"/>
            </w:rPr>
            <w:t>Substance:</w:t>
          </w:r>
        </w:p>
        <w:p w:rsidR="00180588" w:rsidRPr="00AE2999" w:rsidRDefault="00180588" w:rsidP="00861D1F">
          <w:pPr>
            <w:rPr>
              <w:rFonts w:ascii="Verdana" w:hAnsi="Verdana"/>
              <w:sz w:val="20"/>
              <w:szCs w:val="20"/>
            </w:rPr>
          </w:pPr>
          <w:r w:rsidRPr="00AE2999">
            <w:rPr>
              <w:rFonts w:ascii="Verdana" w:hAnsi="Verdana"/>
              <w:sz w:val="20"/>
              <w:szCs w:val="20"/>
            </w:rPr>
            <w:t>1-methyl-2-pyrrolidone (NMP)</w:t>
          </w:r>
        </w:p>
        <w:p w:rsidR="00180588" w:rsidRPr="00AE2999" w:rsidRDefault="00180588" w:rsidP="00861D1F">
          <w:pPr>
            <w:rPr>
              <w:rFonts w:ascii="Verdana" w:hAnsi="Verdana"/>
              <w:b/>
              <w:sz w:val="20"/>
              <w:szCs w:val="20"/>
            </w:rPr>
          </w:pPr>
          <w:r w:rsidRPr="00AE2999">
            <w:rPr>
              <w:rFonts w:ascii="Verdana" w:hAnsi="Verdana"/>
              <w:b/>
              <w:sz w:val="20"/>
              <w:szCs w:val="20"/>
            </w:rPr>
            <w:t>EC number:</w:t>
          </w:r>
          <w:r w:rsidRPr="00AE2999">
            <w:rPr>
              <w:rFonts w:ascii="Verdana" w:hAnsi="Verdana"/>
              <w:sz w:val="20"/>
              <w:szCs w:val="20"/>
            </w:rPr>
            <w:t xml:space="preserve"> </w:t>
          </w:r>
          <w:r w:rsidRPr="00AE2999">
            <w:rPr>
              <w:rFonts w:ascii="Verdana" w:hAnsi="Verdana"/>
              <w:color w:val="000000"/>
              <w:sz w:val="20"/>
              <w:szCs w:val="20"/>
            </w:rPr>
            <w:t>212-828-1</w:t>
          </w:r>
        </w:p>
        <w:p w:rsidR="00180588" w:rsidRPr="00B904DC" w:rsidRDefault="00180588" w:rsidP="005079BD">
          <w:pPr>
            <w:rPr>
              <w:rFonts w:ascii="Verdana" w:hAnsi="Verdana"/>
              <w:sz w:val="18"/>
              <w:szCs w:val="18"/>
            </w:rPr>
          </w:pPr>
          <w:r w:rsidRPr="00AE2999">
            <w:rPr>
              <w:rFonts w:ascii="Verdana" w:hAnsi="Verdana"/>
              <w:b/>
              <w:sz w:val="20"/>
              <w:szCs w:val="20"/>
            </w:rPr>
            <w:t>CAS number:</w:t>
          </w:r>
          <w:r w:rsidRPr="00AE2999">
            <w:rPr>
              <w:rFonts w:ascii="Verdana" w:hAnsi="Verdana"/>
              <w:sz w:val="20"/>
              <w:szCs w:val="20"/>
            </w:rPr>
            <w:t xml:space="preserve"> </w:t>
          </w:r>
          <w:r w:rsidRPr="00AE2999">
            <w:rPr>
              <w:rFonts w:ascii="Verdana" w:hAnsi="Verdana"/>
              <w:color w:val="000000"/>
              <w:sz w:val="20"/>
              <w:szCs w:val="20"/>
            </w:rPr>
            <w:t>872-50-4</w:t>
          </w:r>
        </w:p>
      </w:tc>
      <w:tc>
        <w:tcPr>
          <w:tcW w:w="2800" w:type="pct"/>
          <w:shd w:val="clear" w:color="auto" w:fill="auto"/>
        </w:tcPr>
        <w:p w:rsidR="00180588" w:rsidRPr="005C06CA" w:rsidRDefault="00180588" w:rsidP="005F3D13">
          <w:pPr>
            <w:pStyle w:val="Header"/>
            <w:jc w:val="right"/>
          </w:pPr>
          <w:r w:rsidRPr="005C06CA">
            <w:t xml:space="preserve">Comments and response to comments on SEAC draft opinion on </w:t>
          </w:r>
        </w:p>
        <w:p w:rsidR="00180588" w:rsidRPr="005C06CA" w:rsidRDefault="00180588" w:rsidP="005F3D13">
          <w:pPr>
            <w:pStyle w:val="Header"/>
            <w:jc w:val="right"/>
          </w:pPr>
          <w:r w:rsidRPr="005C06CA">
            <w:t>Annex XV restriction dossier proposing restriction on</w:t>
          </w:r>
        </w:p>
        <w:p w:rsidR="00180588" w:rsidRPr="005C06CA" w:rsidRDefault="00180588" w:rsidP="00861D1F">
          <w:pPr>
            <w:pStyle w:val="Header"/>
            <w:jc w:val="right"/>
            <w:rPr>
              <w:b/>
            </w:rPr>
          </w:pPr>
          <w:r w:rsidRPr="005C06CA">
            <w:rPr>
              <w:b/>
            </w:rPr>
            <w:t>1-methyl-2-pyrrolidone (NMP)</w:t>
          </w:r>
        </w:p>
        <w:p w:rsidR="00180588" w:rsidRPr="005C06CA" w:rsidRDefault="00180588" w:rsidP="00861D1F">
          <w:pPr>
            <w:pStyle w:val="Header"/>
            <w:jc w:val="right"/>
            <w:rPr>
              <w:noProof/>
            </w:rPr>
          </w:pPr>
          <w:r w:rsidRPr="005C06CA">
            <w:rPr>
              <w:noProof/>
            </w:rPr>
            <w:t>Annex XV report submitted by Netherlands</w:t>
          </w:r>
        </w:p>
        <w:p w:rsidR="00180588" w:rsidRPr="00B904DC" w:rsidRDefault="00180588" w:rsidP="00AE2999">
          <w:pPr>
            <w:pStyle w:val="Header"/>
            <w:jc w:val="right"/>
            <w:rPr>
              <w:sz w:val="18"/>
              <w:szCs w:val="18"/>
            </w:rPr>
          </w:pPr>
          <w:r w:rsidRPr="005C06CA">
            <w:rPr>
              <w:noProof/>
            </w:rPr>
            <w:t>Public consultation on SEAC draft opinion started on 16 September 2014</w:t>
          </w:r>
        </w:p>
      </w:tc>
    </w:tr>
  </w:tbl>
  <w:p w:rsidR="00180588" w:rsidRDefault="00180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A20A2"/>
    <w:multiLevelType w:val="hybridMultilevel"/>
    <w:tmpl w:val="80DAAC40"/>
    <w:lvl w:ilvl="0" w:tplc="9BA6A3B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C871AFA"/>
    <w:multiLevelType w:val="multilevel"/>
    <w:tmpl w:val="250224A4"/>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0F"/>
    <w:rsid w:val="000177D2"/>
    <w:rsid w:val="00035E2C"/>
    <w:rsid w:val="0003616B"/>
    <w:rsid w:val="00055B3E"/>
    <w:rsid w:val="00060949"/>
    <w:rsid w:val="000B38D2"/>
    <w:rsid w:val="000B4EFC"/>
    <w:rsid w:val="000E16C1"/>
    <w:rsid w:val="000E3A6E"/>
    <w:rsid w:val="000E74A7"/>
    <w:rsid w:val="000F11E0"/>
    <w:rsid w:val="000F1746"/>
    <w:rsid w:val="001515A4"/>
    <w:rsid w:val="00160929"/>
    <w:rsid w:val="00180588"/>
    <w:rsid w:val="001A1D43"/>
    <w:rsid w:val="001E187A"/>
    <w:rsid w:val="001F4FCE"/>
    <w:rsid w:val="001F5EF4"/>
    <w:rsid w:val="002137BE"/>
    <w:rsid w:val="002237C5"/>
    <w:rsid w:val="00242ED6"/>
    <w:rsid w:val="002B2A84"/>
    <w:rsid w:val="002E0843"/>
    <w:rsid w:val="002E46E2"/>
    <w:rsid w:val="00310006"/>
    <w:rsid w:val="003331F5"/>
    <w:rsid w:val="003375E9"/>
    <w:rsid w:val="00353B3C"/>
    <w:rsid w:val="003646F0"/>
    <w:rsid w:val="00382C56"/>
    <w:rsid w:val="003A797F"/>
    <w:rsid w:val="003B2F0C"/>
    <w:rsid w:val="003B6D57"/>
    <w:rsid w:val="00404833"/>
    <w:rsid w:val="00432041"/>
    <w:rsid w:val="004401FB"/>
    <w:rsid w:val="0044514F"/>
    <w:rsid w:val="00452DEB"/>
    <w:rsid w:val="00465C46"/>
    <w:rsid w:val="004E0C8D"/>
    <w:rsid w:val="004E600F"/>
    <w:rsid w:val="004F0375"/>
    <w:rsid w:val="005039A3"/>
    <w:rsid w:val="005079BD"/>
    <w:rsid w:val="00524EFD"/>
    <w:rsid w:val="00530EFF"/>
    <w:rsid w:val="00532809"/>
    <w:rsid w:val="005502F7"/>
    <w:rsid w:val="00575A66"/>
    <w:rsid w:val="00596AB2"/>
    <w:rsid w:val="005A50C2"/>
    <w:rsid w:val="005B49DA"/>
    <w:rsid w:val="005C06CA"/>
    <w:rsid w:val="005C3EFF"/>
    <w:rsid w:val="005C4EAC"/>
    <w:rsid w:val="005F3D13"/>
    <w:rsid w:val="0062477D"/>
    <w:rsid w:val="00633844"/>
    <w:rsid w:val="00654178"/>
    <w:rsid w:val="00682798"/>
    <w:rsid w:val="006A268A"/>
    <w:rsid w:val="006A3B6E"/>
    <w:rsid w:val="006B2F6E"/>
    <w:rsid w:val="006B7316"/>
    <w:rsid w:val="006C2A52"/>
    <w:rsid w:val="006F67C5"/>
    <w:rsid w:val="00723441"/>
    <w:rsid w:val="00790245"/>
    <w:rsid w:val="007A4E18"/>
    <w:rsid w:val="007A584D"/>
    <w:rsid w:val="007A5997"/>
    <w:rsid w:val="007B2205"/>
    <w:rsid w:val="007F7498"/>
    <w:rsid w:val="00825E28"/>
    <w:rsid w:val="00860F73"/>
    <w:rsid w:val="00861D1F"/>
    <w:rsid w:val="008625B6"/>
    <w:rsid w:val="00864B57"/>
    <w:rsid w:val="00884012"/>
    <w:rsid w:val="008B3CE3"/>
    <w:rsid w:val="008B465D"/>
    <w:rsid w:val="008F54B0"/>
    <w:rsid w:val="00916734"/>
    <w:rsid w:val="00930A74"/>
    <w:rsid w:val="0093215B"/>
    <w:rsid w:val="009334AD"/>
    <w:rsid w:val="00936D5B"/>
    <w:rsid w:val="009C257E"/>
    <w:rsid w:val="009D1E10"/>
    <w:rsid w:val="009D5243"/>
    <w:rsid w:val="009D5ABF"/>
    <w:rsid w:val="009E1658"/>
    <w:rsid w:val="009F56C9"/>
    <w:rsid w:val="00A03E41"/>
    <w:rsid w:val="00A07C9E"/>
    <w:rsid w:val="00A15550"/>
    <w:rsid w:val="00A4115C"/>
    <w:rsid w:val="00A41B5E"/>
    <w:rsid w:val="00A71291"/>
    <w:rsid w:val="00A80F93"/>
    <w:rsid w:val="00AB2487"/>
    <w:rsid w:val="00AE2999"/>
    <w:rsid w:val="00AF6E2D"/>
    <w:rsid w:val="00B12637"/>
    <w:rsid w:val="00B20157"/>
    <w:rsid w:val="00B26C0B"/>
    <w:rsid w:val="00B330EF"/>
    <w:rsid w:val="00B43654"/>
    <w:rsid w:val="00B50EED"/>
    <w:rsid w:val="00B623C3"/>
    <w:rsid w:val="00B904DC"/>
    <w:rsid w:val="00B93378"/>
    <w:rsid w:val="00BA11B0"/>
    <w:rsid w:val="00BC44E9"/>
    <w:rsid w:val="00BD2464"/>
    <w:rsid w:val="00BD5863"/>
    <w:rsid w:val="00BE06E2"/>
    <w:rsid w:val="00BE0883"/>
    <w:rsid w:val="00C36225"/>
    <w:rsid w:val="00C65E7F"/>
    <w:rsid w:val="00CA3668"/>
    <w:rsid w:val="00CB6D06"/>
    <w:rsid w:val="00D06866"/>
    <w:rsid w:val="00D12899"/>
    <w:rsid w:val="00D3092C"/>
    <w:rsid w:val="00D52350"/>
    <w:rsid w:val="00D5718E"/>
    <w:rsid w:val="00D667F9"/>
    <w:rsid w:val="00D84351"/>
    <w:rsid w:val="00D90596"/>
    <w:rsid w:val="00DF6D17"/>
    <w:rsid w:val="00E34CA2"/>
    <w:rsid w:val="00E65589"/>
    <w:rsid w:val="00E65FCB"/>
    <w:rsid w:val="00E70B52"/>
    <w:rsid w:val="00E72497"/>
    <w:rsid w:val="00E86BA2"/>
    <w:rsid w:val="00EF734B"/>
    <w:rsid w:val="00F02B4D"/>
    <w:rsid w:val="00F91D3A"/>
    <w:rsid w:val="00FA37FB"/>
    <w:rsid w:val="00FA3E36"/>
    <w:rsid w:val="00FB6710"/>
    <w:rsid w:val="00FD6DAD"/>
    <w:rsid w:val="00FF461B"/>
    <w:rsid w:val="00FF7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00F"/>
    <w:pPr>
      <w:spacing w:after="0" w:line="240" w:lineRule="auto"/>
    </w:pPr>
    <w:rPr>
      <w:rFonts w:ascii="Times New Roman" w:hAnsi="Times New Roman" w:cs="Times New Roman"/>
      <w:sz w:val="24"/>
      <w:szCs w:val="24"/>
      <w:lang w:eastAsia="en-GB"/>
    </w:rPr>
  </w:style>
  <w:style w:type="paragraph" w:styleId="Heading1">
    <w:name w:val="heading 1"/>
    <w:aliases w:val="ECHA Heading 1"/>
    <w:basedOn w:val="Normal"/>
    <w:next w:val="BodyText"/>
    <w:link w:val="Heading1Char"/>
    <w:qFormat/>
    <w:rsid w:val="00A41B5E"/>
    <w:pPr>
      <w:keepNext/>
      <w:keepLines/>
      <w:widowControl w:val="0"/>
      <w:spacing w:after="240"/>
      <w:outlineLvl w:val="0"/>
    </w:pPr>
    <w:rPr>
      <w:rFonts w:ascii="Verdana" w:hAnsi="Verdana"/>
      <w:b/>
      <w:snapToGrid w:val="0"/>
      <w:color w:val="0046AD"/>
      <w:sz w:val="28"/>
      <w:lang w:eastAsia="fi-FI"/>
    </w:rPr>
  </w:style>
  <w:style w:type="paragraph" w:styleId="Heading2">
    <w:name w:val="heading 2"/>
    <w:aliases w:val="ECHA Heading 2"/>
    <w:basedOn w:val="Heading1"/>
    <w:next w:val="BodyText"/>
    <w:link w:val="Heading2Char"/>
    <w:qFormat/>
    <w:rsid w:val="00A41B5E"/>
    <w:pPr>
      <w:outlineLvl w:val="1"/>
    </w:pPr>
    <w:rPr>
      <w:rFonts w:cs="Arial"/>
      <w:sz w:val="24"/>
      <w:szCs w:val="22"/>
    </w:rPr>
  </w:style>
  <w:style w:type="paragraph" w:styleId="Heading3">
    <w:name w:val="heading 3"/>
    <w:aliases w:val="ECHA Heading 3"/>
    <w:basedOn w:val="Heading2"/>
    <w:next w:val="BodyText"/>
    <w:link w:val="Heading3Char"/>
    <w:qFormat/>
    <w:rsid w:val="00A41B5E"/>
    <w:pPr>
      <w:outlineLvl w:val="2"/>
    </w:pPr>
    <w:rPr>
      <w:bCs/>
      <w:color w:val="000000"/>
      <w:sz w:val="22"/>
    </w:rPr>
  </w:style>
  <w:style w:type="paragraph" w:styleId="Heading4">
    <w:name w:val="heading 4"/>
    <w:aliases w:val="ECHA Heading 4"/>
    <w:basedOn w:val="Heading3"/>
    <w:next w:val="BodyText"/>
    <w:link w:val="Heading4Char"/>
    <w:qFormat/>
    <w:rsid w:val="00A41B5E"/>
    <w:pPr>
      <w:outlineLvl w:val="3"/>
    </w:pPr>
    <w:rPr>
      <w:b w:val="0"/>
      <w:bCs w:val="0"/>
      <w:szCs w:val="28"/>
    </w:rPr>
  </w:style>
  <w:style w:type="paragraph" w:styleId="Heading5">
    <w:name w:val="heading 5"/>
    <w:aliases w:val="ECHA Heading 5"/>
    <w:basedOn w:val="Heading3"/>
    <w:next w:val="BodyText"/>
    <w:link w:val="Heading5Char"/>
    <w:qFormat/>
    <w:rsid w:val="00A41B5E"/>
    <w:pPr>
      <w:outlineLvl w:val="4"/>
    </w:pPr>
    <w:rPr>
      <w:bCs w:val="0"/>
      <w:iCs/>
      <w:sz w:val="20"/>
      <w:szCs w:val="26"/>
    </w:rPr>
  </w:style>
  <w:style w:type="paragraph" w:styleId="Heading6">
    <w:name w:val="heading 6"/>
    <w:aliases w:val="ECHA Heading 6"/>
    <w:basedOn w:val="Heading5"/>
    <w:next w:val="BodyText"/>
    <w:link w:val="Heading6Char"/>
    <w:qFormat/>
    <w:rsid w:val="00A41B5E"/>
    <w:pPr>
      <w:outlineLvl w:val="5"/>
    </w:pPr>
    <w:rPr>
      <w:bCs/>
      <w:szCs w:val="22"/>
    </w:rPr>
  </w:style>
  <w:style w:type="paragraph" w:styleId="Heading7">
    <w:name w:val="heading 7"/>
    <w:aliases w:val="ECHA Heading 7"/>
    <w:basedOn w:val="Heading5"/>
    <w:next w:val="BodyText"/>
    <w:link w:val="Heading7Char"/>
    <w:qFormat/>
    <w:rsid w:val="00A41B5E"/>
    <w:pPr>
      <w:outlineLvl w:val="6"/>
    </w:pPr>
    <w:rPr>
      <w:szCs w:val="24"/>
    </w:rPr>
  </w:style>
  <w:style w:type="paragraph" w:styleId="Heading8">
    <w:name w:val="heading 8"/>
    <w:aliases w:val="ECHA Heading 8"/>
    <w:basedOn w:val="Heading5"/>
    <w:next w:val="BodyText"/>
    <w:link w:val="Heading8Char"/>
    <w:qFormat/>
    <w:rsid w:val="00A41B5E"/>
    <w:pPr>
      <w:outlineLvl w:val="7"/>
    </w:pPr>
    <w:rPr>
      <w:iCs w:val="0"/>
      <w:szCs w:val="24"/>
    </w:rPr>
  </w:style>
  <w:style w:type="paragraph" w:styleId="Heading9">
    <w:name w:val="heading 9"/>
    <w:aliases w:val="ECHA Heading 9"/>
    <w:basedOn w:val="Heading5"/>
    <w:next w:val="BodyText"/>
    <w:link w:val="Heading9Char"/>
    <w:qFormat/>
    <w:rsid w:val="00A41B5E"/>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CHABulletlist">
    <w:name w:val="ECHA Bullet list"/>
    <w:basedOn w:val="NoList"/>
    <w:rsid w:val="00A41B5E"/>
    <w:pPr>
      <w:numPr>
        <w:numId w:val="1"/>
      </w:numPr>
    </w:pPr>
  </w:style>
  <w:style w:type="numbering" w:customStyle="1" w:styleId="ECHANumberlist">
    <w:name w:val="ECHA Number list"/>
    <w:basedOn w:val="NoList"/>
    <w:rsid w:val="00A41B5E"/>
    <w:pPr>
      <w:numPr>
        <w:numId w:val="2"/>
      </w:numPr>
    </w:pPr>
  </w:style>
  <w:style w:type="character" w:customStyle="1" w:styleId="Heading1Char">
    <w:name w:val="Heading 1 Char"/>
    <w:aliases w:val="ECHA Heading 1 Char"/>
    <w:basedOn w:val="DefaultParagraphFont"/>
    <w:link w:val="Heading1"/>
    <w:rsid w:val="00682798"/>
    <w:rPr>
      <w:rFonts w:ascii="Verdana" w:eastAsia="Times New Roman" w:hAnsi="Verdana" w:cs="Times New Roman"/>
      <w:b/>
      <w:snapToGrid w:val="0"/>
      <w:color w:val="0046AD"/>
      <w:sz w:val="28"/>
      <w:szCs w:val="24"/>
      <w:lang w:eastAsia="fi-FI"/>
    </w:rPr>
  </w:style>
  <w:style w:type="paragraph" w:styleId="BodyText">
    <w:name w:val="Body Text"/>
    <w:aliases w:val="Text"/>
    <w:basedOn w:val="Normal"/>
    <w:link w:val="BodyTextChar"/>
    <w:rsid w:val="00A41B5E"/>
    <w:pPr>
      <w:widowControl w:val="0"/>
      <w:spacing w:after="240"/>
    </w:pPr>
    <w:rPr>
      <w:rFonts w:ascii="Verdana" w:hAnsi="Verdana"/>
      <w:snapToGrid w:val="0"/>
      <w:sz w:val="20"/>
      <w:szCs w:val="20"/>
      <w:lang w:eastAsia="fi-FI"/>
    </w:rPr>
  </w:style>
  <w:style w:type="character" w:customStyle="1" w:styleId="BodyTextChar">
    <w:name w:val="Body Text Char"/>
    <w:aliases w:val="Text Char"/>
    <w:basedOn w:val="DefaultParagraphFont"/>
    <w:link w:val="BodyText"/>
    <w:rsid w:val="00682798"/>
    <w:rPr>
      <w:rFonts w:ascii="Verdana" w:eastAsia="Times New Roman" w:hAnsi="Verdana" w:cs="Times New Roman"/>
      <w:snapToGrid w:val="0"/>
      <w:sz w:val="20"/>
      <w:szCs w:val="20"/>
      <w:lang w:eastAsia="fi-FI"/>
    </w:rPr>
  </w:style>
  <w:style w:type="character" w:customStyle="1" w:styleId="Heading2Char">
    <w:name w:val="Heading 2 Char"/>
    <w:aliases w:val="ECHA Heading 2 Char"/>
    <w:basedOn w:val="DefaultParagraphFont"/>
    <w:link w:val="Heading2"/>
    <w:rsid w:val="00682798"/>
    <w:rPr>
      <w:rFonts w:ascii="Verdana" w:eastAsia="Times New Roman" w:hAnsi="Verdana" w:cs="Arial"/>
      <w:b/>
      <w:snapToGrid w:val="0"/>
      <w:color w:val="0046AD"/>
      <w:sz w:val="24"/>
      <w:lang w:eastAsia="fi-FI"/>
    </w:rPr>
  </w:style>
  <w:style w:type="character" w:customStyle="1" w:styleId="Heading3Char">
    <w:name w:val="Heading 3 Char"/>
    <w:aliases w:val="ECHA Heading 3 Char"/>
    <w:basedOn w:val="DefaultParagraphFont"/>
    <w:link w:val="Heading3"/>
    <w:rsid w:val="00682798"/>
    <w:rPr>
      <w:rFonts w:ascii="Verdana" w:eastAsia="Times New Roman" w:hAnsi="Verdana" w:cs="Arial"/>
      <w:b/>
      <w:bCs/>
      <w:snapToGrid w:val="0"/>
      <w:color w:val="000000"/>
      <w:lang w:eastAsia="fi-FI"/>
    </w:rPr>
  </w:style>
  <w:style w:type="character" w:customStyle="1" w:styleId="Heading4Char">
    <w:name w:val="Heading 4 Char"/>
    <w:aliases w:val="ECHA Heading 4 Char"/>
    <w:basedOn w:val="DefaultParagraphFont"/>
    <w:link w:val="Heading4"/>
    <w:rsid w:val="00682798"/>
    <w:rPr>
      <w:rFonts w:ascii="Verdana" w:eastAsia="Times New Roman" w:hAnsi="Verdana" w:cs="Arial"/>
      <w:snapToGrid w:val="0"/>
      <w:color w:val="000000"/>
      <w:szCs w:val="28"/>
      <w:lang w:eastAsia="fi-FI"/>
    </w:rPr>
  </w:style>
  <w:style w:type="character" w:customStyle="1" w:styleId="Heading5Char">
    <w:name w:val="Heading 5 Char"/>
    <w:aliases w:val="ECHA Heading 5 Char"/>
    <w:basedOn w:val="DefaultParagraphFont"/>
    <w:link w:val="Heading5"/>
    <w:rsid w:val="00682798"/>
    <w:rPr>
      <w:rFonts w:ascii="Verdana" w:eastAsia="Times New Roman" w:hAnsi="Verdana" w:cs="Arial"/>
      <w:b/>
      <w:iCs/>
      <w:snapToGrid w:val="0"/>
      <w:color w:val="000000"/>
      <w:sz w:val="20"/>
      <w:szCs w:val="26"/>
      <w:lang w:eastAsia="fi-FI"/>
    </w:rPr>
  </w:style>
  <w:style w:type="character" w:customStyle="1" w:styleId="Heading6Char">
    <w:name w:val="Heading 6 Char"/>
    <w:aliases w:val="ECHA Heading 6 Char"/>
    <w:basedOn w:val="DefaultParagraphFont"/>
    <w:link w:val="Heading6"/>
    <w:rsid w:val="00682798"/>
    <w:rPr>
      <w:rFonts w:ascii="Verdana" w:eastAsia="Times New Roman" w:hAnsi="Verdana" w:cs="Arial"/>
      <w:b/>
      <w:bCs/>
      <w:iCs/>
      <w:snapToGrid w:val="0"/>
      <w:color w:val="000000"/>
      <w:sz w:val="20"/>
      <w:lang w:eastAsia="fi-FI"/>
    </w:rPr>
  </w:style>
  <w:style w:type="character" w:customStyle="1" w:styleId="Heading7Char">
    <w:name w:val="Heading 7 Char"/>
    <w:aliases w:val="ECHA Heading 7 Char"/>
    <w:basedOn w:val="DefaultParagraphFont"/>
    <w:link w:val="Heading7"/>
    <w:rsid w:val="00682798"/>
    <w:rPr>
      <w:rFonts w:ascii="Verdana" w:eastAsia="Times New Roman" w:hAnsi="Verdana" w:cs="Arial"/>
      <w:b/>
      <w:iCs/>
      <w:snapToGrid w:val="0"/>
      <w:color w:val="000000"/>
      <w:sz w:val="20"/>
      <w:szCs w:val="24"/>
      <w:lang w:eastAsia="fi-FI"/>
    </w:rPr>
  </w:style>
  <w:style w:type="character" w:customStyle="1" w:styleId="Heading8Char">
    <w:name w:val="Heading 8 Char"/>
    <w:aliases w:val="ECHA Heading 8 Char"/>
    <w:basedOn w:val="DefaultParagraphFont"/>
    <w:link w:val="Heading8"/>
    <w:rsid w:val="00682798"/>
    <w:rPr>
      <w:rFonts w:ascii="Verdana" w:eastAsia="Times New Roman" w:hAnsi="Verdana" w:cs="Arial"/>
      <w:b/>
      <w:snapToGrid w:val="0"/>
      <w:color w:val="000000"/>
      <w:sz w:val="20"/>
      <w:szCs w:val="24"/>
      <w:lang w:eastAsia="fi-FI"/>
    </w:rPr>
  </w:style>
  <w:style w:type="character" w:customStyle="1" w:styleId="Heading9Char">
    <w:name w:val="Heading 9 Char"/>
    <w:aliases w:val="ECHA Heading 9 Char"/>
    <w:basedOn w:val="DefaultParagraphFont"/>
    <w:link w:val="Heading9"/>
    <w:rsid w:val="00682798"/>
    <w:rPr>
      <w:rFonts w:ascii="Verdana" w:eastAsia="Times New Roman" w:hAnsi="Verdana" w:cs="Arial"/>
      <w:b/>
      <w:iCs/>
      <w:snapToGrid w:val="0"/>
      <w:color w:val="000000"/>
      <w:sz w:val="20"/>
      <w:lang w:eastAsia="fi-FI"/>
    </w:rPr>
  </w:style>
  <w:style w:type="paragraph" w:styleId="Title">
    <w:name w:val="Title"/>
    <w:aliases w:val="ECHA Heading"/>
    <w:basedOn w:val="Heading1"/>
    <w:next w:val="BodyText"/>
    <w:link w:val="TitleChar"/>
    <w:qFormat/>
    <w:rsid w:val="00A41B5E"/>
    <w:rPr>
      <w:rFonts w:cs="Arial"/>
      <w:bCs/>
      <w:szCs w:val="32"/>
    </w:rPr>
  </w:style>
  <w:style w:type="character" w:customStyle="1" w:styleId="TitleChar">
    <w:name w:val="Title Char"/>
    <w:aliases w:val="ECHA Heading Char"/>
    <w:basedOn w:val="DefaultParagraphFont"/>
    <w:link w:val="Title"/>
    <w:rsid w:val="00682798"/>
    <w:rPr>
      <w:rFonts w:ascii="Verdana" w:eastAsia="Times New Roman" w:hAnsi="Verdana" w:cs="Arial"/>
      <w:b/>
      <w:bCs/>
      <w:snapToGrid w:val="0"/>
      <w:color w:val="0046AD"/>
      <w:sz w:val="28"/>
      <w:szCs w:val="32"/>
      <w:lang w:eastAsia="fi-FI"/>
    </w:rPr>
  </w:style>
  <w:style w:type="paragraph" w:styleId="BalloonText">
    <w:name w:val="Balloon Text"/>
    <w:basedOn w:val="Normal"/>
    <w:link w:val="BalloonTextChar"/>
    <w:semiHidden/>
    <w:rsid w:val="00A41B5E"/>
    <w:pPr>
      <w:widowControl w:val="0"/>
    </w:pPr>
    <w:rPr>
      <w:rFonts w:ascii="Tahoma" w:hAnsi="Tahoma" w:cs="Tahoma"/>
      <w:snapToGrid w:val="0"/>
      <w:sz w:val="16"/>
      <w:szCs w:val="16"/>
      <w:lang w:eastAsia="fi-FI"/>
    </w:rPr>
  </w:style>
  <w:style w:type="character" w:customStyle="1" w:styleId="BalloonTextChar">
    <w:name w:val="Balloon Text Char"/>
    <w:basedOn w:val="DefaultParagraphFont"/>
    <w:link w:val="BalloonText"/>
    <w:semiHidden/>
    <w:rsid w:val="00A41B5E"/>
    <w:rPr>
      <w:rFonts w:ascii="Tahoma" w:eastAsia="Times New Roman" w:hAnsi="Tahoma" w:cs="Tahoma"/>
      <w:snapToGrid w:val="0"/>
      <w:sz w:val="16"/>
      <w:szCs w:val="16"/>
      <w:lang w:eastAsia="fi-FI"/>
    </w:rPr>
  </w:style>
  <w:style w:type="paragraph" w:styleId="BodyTextFirstIndent">
    <w:name w:val="Body Text First Indent"/>
    <w:basedOn w:val="BodyText"/>
    <w:link w:val="BodyTextFirstIndentChar"/>
    <w:semiHidden/>
    <w:rsid w:val="00A41B5E"/>
    <w:pPr>
      <w:spacing w:after="120"/>
      <w:ind w:firstLine="210"/>
    </w:pPr>
  </w:style>
  <w:style w:type="character" w:customStyle="1" w:styleId="BodyTextFirstIndentChar">
    <w:name w:val="Body Text First Indent Char"/>
    <w:basedOn w:val="BodyTextChar"/>
    <w:link w:val="BodyTextFirstIndent"/>
    <w:semiHidden/>
    <w:rsid w:val="00A41B5E"/>
    <w:rPr>
      <w:rFonts w:ascii="Verdana" w:eastAsia="Times New Roman" w:hAnsi="Verdana" w:cs="Times New Roman"/>
      <w:snapToGrid w:val="0"/>
      <w:sz w:val="20"/>
      <w:szCs w:val="20"/>
      <w:lang w:eastAsia="fi-FI"/>
    </w:rPr>
  </w:style>
  <w:style w:type="paragraph" w:styleId="BodyTextIndent">
    <w:name w:val="Body Text Indent"/>
    <w:basedOn w:val="Normal"/>
    <w:link w:val="BodyTextIndentChar"/>
    <w:uiPriority w:val="99"/>
    <w:semiHidden/>
    <w:unhideWhenUsed/>
    <w:rsid w:val="00A41B5E"/>
    <w:pPr>
      <w:widowControl w:val="0"/>
      <w:spacing w:after="120"/>
      <w:ind w:left="283"/>
    </w:pPr>
    <w:rPr>
      <w:rFonts w:ascii="Verdana" w:hAnsi="Verdana"/>
      <w:snapToGrid w:val="0"/>
      <w:sz w:val="20"/>
      <w:szCs w:val="20"/>
      <w:lang w:eastAsia="fi-FI"/>
    </w:rPr>
  </w:style>
  <w:style w:type="character" w:customStyle="1" w:styleId="BodyTextIndentChar">
    <w:name w:val="Body Text Indent Char"/>
    <w:basedOn w:val="DefaultParagraphFont"/>
    <w:link w:val="BodyTextIndent"/>
    <w:uiPriority w:val="99"/>
    <w:semiHidden/>
    <w:rsid w:val="00A41B5E"/>
    <w:rPr>
      <w:rFonts w:ascii="Verdana" w:eastAsia="Times New Roman" w:hAnsi="Verdana" w:cs="Times New Roman"/>
      <w:snapToGrid w:val="0"/>
      <w:sz w:val="20"/>
      <w:szCs w:val="20"/>
      <w:lang w:eastAsia="fi-FI"/>
    </w:rPr>
  </w:style>
  <w:style w:type="paragraph" w:styleId="BodyTextFirstIndent2">
    <w:name w:val="Body Text First Indent 2"/>
    <w:basedOn w:val="Normal"/>
    <w:link w:val="BodyTextFirstIndent2Char"/>
    <w:semiHidden/>
    <w:rsid w:val="00A41B5E"/>
    <w:pPr>
      <w:widowControl w:val="0"/>
      <w:spacing w:after="120"/>
      <w:ind w:left="283" w:firstLine="210"/>
    </w:pPr>
    <w:rPr>
      <w:rFonts w:ascii="Verdana" w:hAnsi="Verdana"/>
      <w:snapToGrid w:val="0"/>
      <w:sz w:val="20"/>
      <w:szCs w:val="20"/>
      <w:lang w:eastAsia="fi-FI"/>
    </w:rPr>
  </w:style>
  <w:style w:type="character" w:customStyle="1" w:styleId="BodyTextFirstIndent2Char">
    <w:name w:val="Body Text First Indent 2 Char"/>
    <w:basedOn w:val="BodyTextIndentChar"/>
    <w:link w:val="BodyTextFirstIndent2"/>
    <w:semiHidden/>
    <w:rsid w:val="00A41B5E"/>
    <w:rPr>
      <w:rFonts w:ascii="Verdana" w:eastAsia="Times New Roman" w:hAnsi="Verdana" w:cs="Times New Roman"/>
      <w:snapToGrid w:val="0"/>
      <w:sz w:val="20"/>
      <w:szCs w:val="20"/>
      <w:lang w:eastAsia="fi-FI"/>
    </w:rPr>
  </w:style>
  <w:style w:type="character" w:customStyle="1" w:styleId="Bold">
    <w:name w:val="Bold"/>
    <w:basedOn w:val="DefaultParagraphFont"/>
    <w:rsid w:val="00A41B5E"/>
    <w:rPr>
      <w:rFonts w:ascii="Verdana" w:hAnsi="Verdana"/>
      <w:b/>
      <w:sz w:val="20"/>
    </w:rPr>
  </w:style>
  <w:style w:type="paragraph" w:customStyle="1" w:styleId="BulletedList1-usermanual">
    <w:name w:val="Bulleted List 1 - user manual"/>
    <w:basedOn w:val="Normal"/>
    <w:rsid w:val="00A41B5E"/>
    <w:pPr>
      <w:widowControl w:val="0"/>
      <w:numPr>
        <w:numId w:val="3"/>
      </w:numPr>
      <w:spacing w:line="360" w:lineRule="auto"/>
    </w:pPr>
    <w:rPr>
      <w:rFonts w:ascii="Verdana" w:hAnsi="Verdana"/>
      <w:snapToGrid w:val="0"/>
      <w:sz w:val="20"/>
      <w:szCs w:val="20"/>
      <w:lang w:eastAsia="fi-FI"/>
    </w:rPr>
  </w:style>
  <w:style w:type="character" w:styleId="CommentReference">
    <w:name w:val="annotation reference"/>
    <w:basedOn w:val="DefaultParagraphFont"/>
    <w:semiHidden/>
    <w:rsid w:val="00A41B5E"/>
    <w:rPr>
      <w:sz w:val="16"/>
      <w:szCs w:val="16"/>
    </w:rPr>
  </w:style>
  <w:style w:type="paragraph" w:styleId="CommentText">
    <w:name w:val="annotation text"/>
    <w:basedOn w:val="Normal"/>
    <w:link w:val="CommentTextChar"/>
    <w:semiHidden/>
    <w:rsid w:val="00A41B5E"/>
    <w:pPr>
      <w:widowControl w:val="0"/>
    </w:pPr>
    <w:rPr>
      <w:rFonts w:ascii="Verdana" w:hAnsi="Verdana"/>
      <w:snapToGrid w:val="0"/>
      <w:sz w:val="20"/>
      <w:szCs w:val="20"/>
      <w:lang w:eastAsia="fi-FI"/>
    </w:rPr>
  </w:style>
  <w:style w:type="character" w:customStyle="1" w:styleId="CommentTextChar">
    <w:name w:val="Comment Text Char"/>
    <w:basedOn w:val="DefaultParagraphFont"/>
    <w:link w:val="CommentText"/>
    <w:semiHidden/>
    <w:rsid w:val="00A41B5E"/>
    <w:rPr>
      <w:rFonts w:ascii="Verdana" w:eastAsia="Times New Roman" w:hAnsi="Verdana" w:cs="Times New Roman"/>
      <w:snapToGrid w:val="0"/>
      <w:sz w:val="20"/>
      <w:szCs w:val="20"/>
      <w:lang w:eastAsia="fi-FI"/>
    </w:rPr>
  </w:style>
  <w:style w:type="paragraph" w:styleId="CommentSubject">
    <w:name w:val="annotation subject"/>
    <w:basedOn w:val="CommentText"/>
    <w:next w:val="CommentText"/>
    <w:link w:val="CommentSubjectChar"/>
    <w:semiHidden/>
    <w:rsid w:val="00A41B5E"/>
    <w:rPr>
      <w:b/>
      <w:bCs/>
    </w:rPr>
  </w:style>
  <w:style w:type="character" w:customStyle="1" w:styleId="CommentSubjectChar">
    <w:name w:val="Comment Subject Char"/>
    <w:basedOn w:val="CommentTextChar"/>
    <w:link w:val="CommentSubject"/>
    <w:semiHidden/>
    <w:rsid w:val="00A41B5E"/>
    <w:rPr>
      <w:rFonts w:ascii="Verdana" w:eastAsia="Times New Roman" w:hAnsi="Verdana" w:cs="Times New Roman"/>
      <w:b/>
      <w:bCs/>
      <w:snapToGrid w:val="0"/>
      <w:sz w:val="20"/>
      <w:szCs w:val="20"/>
      <w:lang w:eastAsia="fi-FI"/>
    </w:rPr>
  </w:style>
  <w:style w:type="paragraph" w:styleId="Footer">
    <w:name w:val="footer"/>
    <w:basedOn w:val="Normal"/>
    <w:link w:val="FooterChar"/>
    <w:rsid w:val="00A41B5E"/>
    <w:pPr>
      <w:widowControl w:val="0"/>
      <w:spacing w:line="160" w:lineRule="exact"/>
    </w:pPr>
    <w:rPr>
      <w:rFonts w:ascii="Verdana" w:hAnsi="Verdana"/>
      <w:snapToGrid w:val="0"/>
      <w:spacing w:val="2"/>
      <w:sz w:val="13"/>
      <w:szCs w:val="20"/>
      <w:lang w:eastAsia="fi-FI"/>
    </w:rPr>
  </w:style>
  <w:style w:type="character" w:customStyle="1" w:styleId="FooterChar">
    <w:name w:val="Footer Char"/>
    <w:basedOn w:val="DefaultParagraphFont"/>
    <w:link w:val="Footer"/>
    <w:rsid w:val="00A41B5E"/>
    <w:rPr>
      <w:rFonts w:ascii="Verdana" w:eastAsia="Times New Roman" w:hAnsi="Verdana" w:cs="Times New Roman"/>
      <w:snapToGrid w:val="0"/>
      <w:spacing w:val="2"/>
      <w:sz w:val="13"/>
      <w:szCs w:val="20"/>
      <w:lang w:eastAsia="fi-FI"/>
    </w:rPr>
  </w:style>
  <w:style w:type="paragraph" w:customStyle="1" w:styleId="Disclaimer">
    <w:name w:val="Disclaimer"/>
    <w:basedOn w:val="Footer"/>
    <w:rsid w:val="00A41B5E"/>
    <w:pPr>
      <w:spacing w:before="120" w:line="140" w:lineRule="exact"/>
    </w:pPr>
    <w:rPr>
      <w:spacing w:val="0"/>
      <w:sz w:val="11"/>
    </w:rPr>
  </w:style>
  <w:style w:type="character" w:styleId="FollowedHyperlink">
    <w:name w:val="FollowedHyperlink"/>
    <w:aliases w:val="Hyperlink opened"/>
    <w:basedOn w:val="DefaultParagraphFont"/>
    <w:rsid w:val="00A41B5E"/>
    <w:rPr>
      <w:rFonts w:ascii="Verdana" w:hAnsi="Verdana"/>
      <w:color w:val="800080"/>
      <w:sz w:val="20"/>
      <w:u w:val="single"/>
    </w:rPr>
  </w:style>
  <w:style w:type="character" w:styleId="FootnoteReference">
    <w:name w:val="footnote reference"/>
    <w:aliases w:val="Footnote"/>
    <w:basedOn w:val="DefaultParagraphFont"/>
    <w:semiHidden/>
    <w:rsid w:val="00A41B5E"/>
    <w:rPr>
      <w:rFonts w:ascii="Georgia" w:hAnsi="Georgia"/>
      <w:sz w:val="16"/>
      <w:vertAlign w:val="superscript"/>
    </w:rPr>
  </w:style>
  <w:style w:type="paragraph" w:styleId="FootnoteText">
    <w:name w:val="footnote text"/>
    <w:basedOn w:val="Normal"/>
    <w:link w:val="FootnoteTextChar"/>
    <w:semiHidden/>
    <w:rsid w:val="00A41B5E"/>
    <w:pPr>
      <w:widowControl w:val="0"/>
    </w:pPr>
    <w:rPr>
      <w:rFonts w:ascii="Verdana" w:hAnsi="Verdana"/>
      <w:snapToGrid w:val="0"/>
      <w:sz w:val="20"/>
      <w:szCs w:val="20"/>
      <w:lang w:eastAsia="fi-FI"/>
    </w:rPr>
  </w:style>
  <w:style w:type="character" w:customStyle="1" w:styleId="FootnoteTextChar">
    <w:name w:val="Footnote Text Char"/>
    <w:basedOn w:val="DefaultParagraphFont"/>
    <w:link w:val="FootnoteText"/>
    <w:semiHidden/>
    <w:rsid w:val="00A41B5E"/>
    <w:rPr>
      <w:rFonts w:ascii="Verdana" w:eastAsia="Times New Roman" w:hAnsi="Verdana" w:cs="Times New Roman"/>
      <w:snapToGrid w:val="0"/>
      <w:sz w:val="20"/>
      <w:szCs w:val="20"/>
      <w:lang w:eastAsia="fi-FI"/>
    </w:rPr>
  </w:style>
  <w:style w:type="paragraph" w:customStyle="1" w:styleId="Footnotes">
    <w:name w:val="Footnotes"/>
    <w:basedOn w:val="BodyText"/>
    <w:rsid w:val="00A41B5E"/>
    <w:rPr>
      <w:rFonts w:ascii="Georgia" w:hAnsi="Georgia"/>
      <w:sz w:val="18"/>
    </w:rPr>
  </w:style>
  <w:style w:type="paragraph" w:styleId="Header">
    <w:name w:val="header"/>
    <w:basedOn w:val="Normal"/>
    <w:link w:val="HeaderChar"/>
    <w:rsid w:val="00A41B5E"/>
    <w:pPr>
      <w:widowControl w:val="0"/>
      <w:tabs>
        <w:tab w:val="left" w:pos="4536"/>
        <w:tab w:val="left" w:pos="7088"/>
        <w:tab w:val="left" w:pos="8789"/>
      </w:tabs>
    </w:pPr>
    <w:rPr>
      <w:rFonts w:ascii="Verdana" w:hAnsi="Verdana"/>
      <w:snapToGrid w:val="0"/>
      <w:sz w:val="20"/>
      <w:szCs w:val="20"/>
      <w:lang w:eastAsia="fi-FI"/>
    </w:rPr>
  </w:style>
  <w:style w:type="character" w:customStyle="1" w:styleId="HeaderChar">
    <w:name w:val="Header Char"/>
    <w:basedOn w:val="DefaultParagraphFont"/>
    <w:link w:val="Header"/>
    <w:rsid w:val="00A41B5E"/>
    <w:rPr>
      <w:rFonts w:ascii="Verdana" w:eastAsia="Times New Roman" w:hAnsi="Verdana" w:cs="Times New Roman"/>
      <w:snapToGrid w:val="0"/>
      <w:sz w:val="20"/>
      <w:szCs w:val="20"/>
      <w:lang w:eastAsia="fi-FI"/>
    </w:rPr>
  </w:style>
  <w:style w:type="character" w:styleId="Hyperlink">
    <w:name w:val="Hyperlink"/>
    <w:basedOn w:val="DefaultParagraphFont"/>
    <w:rsid w:val="00A41B5E"/>
    <w:rPr>
      <w:rFonts w:ascii="Verdana" w:hAnsi="Verdana"/>
      <w:color w:val="0000FF"/>
      <w:sz w:val="20"/>
      <w:u w:val="single"/>
    </w:rPr>
  </w:style>
  <w:style w:type="character" w:customStyle="1" w:styleId="Italic">
    <w:name w:val="Italic"/>
    <w:basedOn w:val="DefaultParagraphFont"/>
    <w:rsid w:val="00A41B5E"/>
    <w:rPr>
      <w:rFonts w:ascii="Verdana" w:hAnsi="Verdana"/>
      <w:i/>
      <w:sz w:val="20"/>
    </w:rPr>
  </w:style>
  <w:style w:type="paragraph" w:customStyle="1" w:styleId="Leipteksti1">
    <w:name w:val="Leipäteksti1"/>
    <w:basedOn w:val="Normal"/>
    <w:semiHidden/>
    <w:rsid w:val="00A41B5E"/>
    <w:pPr>
      <w:ind w:left="2608"/>
    </w:pPr>
  </w:style>
  <w:style w:type="character" w:styleId="PageNumber">
    <w:name w:val="page number"/>
    <w:aliases w:val="Page number"/>
    <w:basedOn w:val="DefaultParagraphFont"/>
    <w:rsid w:val="00A41B5E"/>
    <w:rPr>
      <w:rFonts w:ascii="Verdana" w:hAnsi="Verdana"/>
      <w:sz w:val="20"/>
    </w:rPr>
  </w:style>
  <w:style w:type="table" w:styleId="TableGrid">
    <w:name w:val="Table Grid"/>
    <w:basedOn w:val="TableNormal"/>
    <w:uiPriority w:val="59"/>
    <w:rsid w:val="00A41B5E"/>
    <w:pPr>
      <w:widowControl w:val="0"/>
      <w:spacing w:after="0" w:line="240" w:lineRule="auto"/>
    </w:pPr>
    <w:rPr>
      <w:rFonts w:ascii="Verdana"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BodyText"/>
    <w:rsid w:val="00A41B5E"/>
    <w:pPr>
      <w:spacing w:after="120"/>
    </w:pPr>
    <w:rPr>
      <w:b/>
      <w:color w:val="FFCC00"/>
      <w:sz w:val="18"/>
      <w:szCs w:val="18"/>
    </w:rPr>
  </w:style>
  <w:style w:type="paragraph" w:customStyle="1" w:styleId="Tabletext">
    <w:name w:val="Tabletext"/>
    <w:basedOn w:val="BodyText"/>
    <w:rsid w:val="00A41B5E"/>
    <w:pPr>
      <w:spacing w:after="0"/>
    </w:pPr>
    <w:rPr>
      <w:sz w:val="18"/>
    </w:rPr>
  </w:style>
  <w:style w:type="paragraph" w:styleId="TOC1">
    <w:name w:val="toc 1"/>
    <w:basedOn w:val="Normal"/>
    <w:next w:val="Normal"/>
    <w:autoRedefine/>
    <w:rsid w:val="00A41B5E"/>
    <w:pPr>
      <w:widowControl w:val="0"/>
      <w:tabs>
        <w:tab w:val="right" w:leader="dot" w:pos="10196"/>
      </w:tabs>
      <w:ind w:left="425" w:hanging="425"/>
    </w:pPr>
    <w:rPr>
      <w:rFonts w:ascii="Verdana" w:hAnsi="Verdana"/>
      <w:noProof/>
      <w:snapToGrid w:val="0"/>
      <w:sz w:val="20"/>
      <w:szCs w:val="20"/>
      <w:lang w:eastAsia="fi-FI"/>
    </w:rPr>
  </w:style>
  <w:style w:type="paragraph" w:styleId="TOC2">
    <w:name w:val="toc 2"/>
    <w:basedOn w:val="Normal"/>
    <w:next w:val="Normal"/>
    <w:autoRedefine/>
    <w:rsid w:val="00A41B5E"/>
    <w:pPr>
      <w:widowControl w:val="0"/>
      <w:tabs>
        <w:tab w:val="right" w:leader="dot" w:pos="10196"/>
      </w:tabs>
      <w:ind w:left="992" w:hanging="567"/>
    </w:pPr>
    <w:rPr>
      <w:rFonts w:ascii="Verdana" w:hAnsi="Verdana"/>
      <w:noProof/>
      <w:snapToGrid w:val="0"/>
      <w:sz w:val="20"/>
      <w:szCs w:val="20"/>
      <w:lang w:eastAsia="fi-FI"/>
    </w:rPr>
  </w:style>
  <w:style w:type="paragraph" w:styleId="TOC3">
    <w:name w:val="toc 3"/>
    <w:basedOn w:val="Normal"/>
    <w:next w:val="Normal"/>
    <w:autoRedefine/>
    <w:rsid w:val="00A41B5E"/>
    <w:pPr>
      <w:widowControl w:val="0"/>
      <w:tabs>
        <w:tab w:val="right" w:leader="dot" w:pos="10196"/>
      </w:tabs>
      <w:ind w:left="1843" w:hanging="851"/>
    </w:pPr>
    <w:rPr>
      <w:rFonts w:ascii="Verdana" w:hAnsi="Verdana"/>
      <w:snapToGrid w:val="0"/>
      <w:sz w:val="20"/>
      <w:szCs w:val="20"/>
      <w:lang w:eastAsia="fi-FI"/>
    </w:rPr>
  </w:style>
  <w:style w:type="character" w:styleId="Strong">
    <w:name w:val="Strong"/>
    <w:qFormat/>
    <w:rsid w:val="004E600F"/>
    <w:rPr>
      <w:b/>
      <w:bCs/>
    </w:rPr>
  </w:style>
  <w:style w:type="paragraph" w:styleId="NormalWeb">
    <w:name w:val="Normal (Web)"/>
    <w:basedOn w:val="Normal"/>
    <w:uiPriority w:val="99"/>
    <w:rsid w:val="004E600F"/>
    <w:pPr>
      <w:spacing w:before="100" w:beforeAutospacing="1" w:after="240"/>
    </w:pPr>
  </w:style>
  <w:style w:type="paragraph" w:styleId="Revision">
    <w:name w:val="Revision"/>
    <w:hidden/>
    <w:uiPriority w:val="99"/>
    <w:semiHidden/>
    <w:rsid w:val="004E0C8D"/>
    <w:pPr>
      <w:spacing w:after="0" w:line="240" w:lineRule="auto"/>
    </w:pPr>
    <w:rPr>
      <w:rFonts w:ascii="Times New Roman" w:hAnsi="Times New Roman" w:cs="Times New Roman"/>
      <w:sz w:val="24"/>
      <w:szCs w:val="24"/>
      <w:lang w:eastAsia="en-GB"/>
    </w:rPr>
  </w:style>
  <w:style w:type="paragraph" w:customStyle="1" w:styleId="Default">
    <w:name w:val="Default"/>
    <w:rsid w:val="00D52350"/>
    <w:pPr>
      <w:autoSpaceDE w:val="0"/>
      <w:autoSpaceDN w:val="0"/>
      <w:adjustRightInd w:val="0"/>
      <w:spacing w:after="0" w:line="240" w:lineRule="auto"/>
    </w:pPr>
    <w:rPr>
      <w:rFonts w:ascii="Verdana" w:hAnsi="Verdana" w:cs="Verdana"/>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78284">
      <w:bodyDiv w:val="1"/>
      <w:marLeft w:val="0"/>
      <w:marRight w:val="0"/>
      <w:marTop w:val="0"/>
      <w:marBottom w:val="0"/>
      <w:divBdr>
        <w:top w:val="none" w:sz="0" w:space="0" w:color="auto"/>
        <w:left w:val="none" w:sz="0" w:space="0" w:color="auto"/>
        <w:bottom w:val="none" w:sz="0" w:space="0" w:color="auto"/>
        <w:right w:val="none" w:sz="0" w:space="0" w:color="auto"/>
      </w:divBdr>
    </w:div>
    <w:div w:id="678242910">
      <w:bodyDiv w:val="1"/>
      <w:marLeft w:val="0"/>
      <w:marRight w:val="0"/>
      <w:marTop w:val="0"/>
      <w:marBottom w:val="0"/>
      <w:divBdr>
        <w:top w:val="none" w:sz="0" w:space="0" w:color="auto"/>
        <w:left w:val="none" w:sz="0" w:space="0" w:color="auto"/>
        <w:bottom w:val="none" w:sz="0" w:space="0" w:color="auto"/>
        <w:right w:val="none" w:sz="0" w:space="0" w:color="auto"/>
      </w:divBdr>
      <w:divsChild>
        <w:div w:id="1864711381">
          <w:marLeft w:val="0"/>
          <w:marRight w:val="0"/>
          <w:marTop w:val="0"/>
          <w:marBottom w:val="0"/>
          <w:divBdr>
            <w:top w:val="none" w:sz="0" w:space="0" w:color="auto"/>
            <w:left w:val="none" w:sz="0" w:space="0" w:color="auto"/>
            <w:bottom w:val="none" w:sz="0" w:space="0" w:color="auto"/>
            <w:right w:val="none" w:sz="0" w:space="0" w:color="auto"/>
          </w:divBdr>
          <w:divsChild>
            <w:div w:id="9039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3072">
      <w:bodyDiv w:val="1"/>
      <w:marLeft w:val="0"/>
      <w:marRight w:val="0"/>
      <w:marTop w:val="0"/>
      <w:marBottom w:val="0"/>
      <w:divBdr>
        <w:top w:val="none" w:sz="0" w:space="0" w:color="auto"/>
        <w:left w:val="none" w:sz="0" w:space="0" w:color="auto"/>
        <w:bottom w:val="none" w:sz="0" w:space="0" w:color="auto"/>
        <w:right w:val="none" w:sz="0" w:space="0" w:color="auto"/>
      </w:divBdr>
      <w:divsChild>
        <w:div w:id="356932977">
          <w:marLeft w:val="0"/>
          <w:marRight w:val="0"/>
          <w:marTop w:val="0"/>
          <w:marBottom w:val="0"/>
          <w:divBdr>
            <w:top w:val="none" w:sz="0" w:space="0" w:color="auto"/>
            <w:left w:val="none" w:sz="0" w:space="0" w:color="auto"/>
            <w:bottom w:val="none" w:sz="0" w:space="0" w:color="auto"/>
            <w:right w:val="none" w:sz="0" w:space="0" w:color="auto"/>
          </w:divBdr>
        </w:div>
      </w:divsChild>
    </w:div>
    <w:div w:id="184563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echa.europa.eu/documents/10162/13634/du_nutshell_guidance_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cha.europa.eu/documents/10162/13634/du_en.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FBC31-5A5B-46C2-BBC1-292109E3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89AF18B8.dotm</Template>
  <TotalTime>0</TotalTime>
  <Pages>21</Pages>
  <Words>7743</Words>
  <Characters>44141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2015-01-16T08:38:00Z</dcterms:created>
  <dcterms:modified xsi:type="dcterms:W3CDTF">2018-07-31T10:29:00Z</dcterms:modified>
</cp:coreProperties>
</file>