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996" w14:textId="77777777" w:rsidR="00F57736" w:rsidRPr="003016DF" w:rsidRDefault="00E86372" w:rsidP="00F57736">
      <w:r>
        <w:rPr>
          <w:rFonts w:eastAsiaTheme="minorHAnsi"/>
          <w:noProof/>
          <w:szCs w:val="24"/>
          <w:lang w:val="de-AT" w:eastAsia="de-AT"/>
        </w:rPr>
        <mc:AlternateContent>
          <mc:Choice Requires="wps">
            <w:drawing>
              <wp:anchor distT="91440" distB="91440" distL="114300" distR="114300" simplePos="0" relativeHeight="251659264" behindDoc="0" locked="0" layoutInCell="0" allowOverlap="1" wp14:anchorId="68353A5A" wp14:editId="68353A5B">
                <wp:simplePos x="0" y="0"/>
                <wp:positionH relativeFrom="margin">
                  <wp:posOffset>3047365</wp:posOffset>
                </wp:positionH>
                <wp:positionV relativeFrom="margin">
                  <wp:posOffset>419100</wp:posOffset>
                </wp:positionV>
                <wp:extent cx="2409825" cy="1341120"/>
                <wp:effectExtent l="0" t="0" r="28575" b="11430"/>
                <wp:wrapSquare wrapText="bothSides"/>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09825" cy="1341120"/>
                        </a:xfrm>
                        <a:prstGeom prst="rect">
                          <a:avLst/>
                        </a:prstGeom>
                        <a:noFill/>
                        <a:ln w="9525">
                          <a:solidFill>
                            <a:schemeClr val="tx1">
                              <a:lumMod val="50000"/>
                              <a:lumOff val="50000"/>
                            </a:schemeClr>
                          </a:solidFill>
                          <a:miter lim="800000"/>
                          <a:headEnd/>
                          <a:tailEnd/>
                        </a:ln>
                        <a:effectLst/>
                      </wps:spPr>
                      <wps:txbx>
                        <w:txbxContent>
                          <w:p w14:paraId="68353A6D" w14:textId="267DC557" w:rsidR="00E86372" w:rsidRDefault="00E95412" w:rsidP="00E86372">
                            <w:pPr>
                              <w:rPr>
                                <w:color w:val="4F81BD" w:themeColor="accent1"/>
                              </w:rPr>
                            </w:pPr>
                            <w:r>
                              <w:rPr>
                                <w:noProof/>
                                <w:snapToGrid/>
                                <w:lang w:val="de-AT" w:eastAsia="de-AT"/>
                              </w:rPr>
                              <w:drawing>
                                <wp:inline distT="0" distB="0" distL="0" distR="0" wp14:anchorId="420871E6" wp14:editId="22DF4B04">
                                  <wp:extent cx="1998116" cy="811988"/>
                                  <wp:effectExtent l="0" t="0" r="2540" b="7620"/>
                                  <wp:docPr id="3" name="Grafik 3" descr="C:\Users\mauritz\Desktop\BMK_Logo.jpg"/>
                                  <wp:cNvGraphicFramePr/>
                                  <a:graphic xmlns:a="http://schemas.openxmlformats.org/drawingml/2006/main">
                                    <a:graphicData uri="http://schemas.openxmlformats.org/drawingml/2006/picture">
                                      <pic:pic xmlns:pic="http://schemas.openxmlformats.org/drawingml/2006/picture">
                                        <pic:nvPicPr>
                                          <pic:cNvPr id="3" name="Grafik 3" descr="C:\Users\mauritz\Desktop\BMK_Logo.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1603" cy="821532"/>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8353A5A" id="Rectangle 698" o:spid="_x0000_s1026" style="position:absolute;margin-left:239.95pt;margin-top:33pt;width:189.75pt;height:105.6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OJQIAAEUEAAAOAAAAZHJzL2Uyb0RvYy54bWysU9uO2yAQfa/Uf0C8N75s0matOKtVtttW&#10;2l6kbT+AYByjAkOBxE6/fgfsJpvtW1U/IAY8hzNnzqxuBq3IQTgvwdS0mOWUCMOhkWZX0x/f798s&#10;KfGBmYYpMKKmR+Hpzfr1q1VvK1FCB6oRjiCI8VVva9qFYKss87wTmvkZWGHwsgWnWcDQ7bLGsR7R&#10;tcrKPH+b9eAa64AL7/H0bryk64TftoKHr23rRSCqpsgtpNWldRvXbL1i1c4x20k+0WD/wEIzafDR&#10;E9QdC4zsnfwLSkvuwEMbZhx0Bm0ruUg1YDVF/qKax45ZkWpBcbw9yeT/Hyz/cni031yk7u0D8J+e&#10;GNh0zOzErXPQd4I1+FwRhcp666tTQgw8ppJt/xkabC3bB0gaDK3TpFXSfoyJERrrJEMS/XgSXQyB&#10;cDws5/n1slxQwvGuuJoXRZnakrEqAsV063z4IECTuKmpw64mWHZ48CESO/8SfzdwL5VKnVWG9DW9&#10;XiB+KhGUbOJlCqLHxEY5cmDojjCMXNVeYz3j2SLHb/QIHqOTXhzjw8mpESXR8M8f0DKgt5XUNV1G&#10;oAkpSvreNIlfYFKNe4RSJtISybVTYX9Ejn72VRi2A6bF7RaaI2rvYHQ0TiBuOnC/KenRzTX1v/bM&#10;CUrUJ4P9K9/Nr1BWEi4idxFtLyJmOMLVlAdHyRhsQhqcUeJb7HYrk/pnPpNH0KtJjWmu4jA8j9Nf&#10;5+lfPwEAAP//AwBQSwMEFAAGAAgAAAAhABqNDNbeAAAACgEAAA8AAABkcnMvZG93bnJldi54bWxM&#10;j8FOwzAQRO9I/IO1SNyoQ9QmTYhTVYgicWxAnN3YxBHx2oqd1v17lhMcV/v0ZqbZJTuxs57D6FDA&#10;4yoDprF3asRBwMf74WELLESJSk4OtYCrDrBrb28aWSt3waM+d3FgJMFQSwEmRl9zHnqjrQwr5zXS&#10;78vNVkY654GrWV5IbieeZ1nBrRyREoz0+tno/rtbLFn2x8PwiS9df31Li0kb78dXL8T9Xdo/AYs6&#10;xT8YfutTdWip08ktqAKbBKzLqiJUQFHQJgK2m2oN7CQgL8sceNvw/xPaHwAAAP//AwBQSwECLQAU&#10;AAYACAAAACEAtoM4kv4AAADhAQAAEwAAAAAAAAAAAAAAAAAAAAAAW0NvbnRlbnRfVHlwZXNdLnht&#10;bFBLAQItABQABgAIAAAAIQA4/SH/1gAAAJQBAAALAAAAAAAAAAAAAAAAAC8BAABfcmVscy8ucmVs&#10;c1BLAQItABQABgAIAAAAIQBtU/VOJQIAAEUEAAAOAAAAAAAAAAAAAAAAAC4CAABkcnMvZTJvRG9j&#10;LnhtbFBLAQItABQABgAIAAAAIQAajQzW3gAAAAoBAAAPAAAAAAAAAAAAAAAAAH8EAABkcnMvZG93&#10;bnJldi54bWxQSwUGAAAAAAQABADzAAAAigUAAAAA&#10;" o:allowincell="f" filled="f" strokecolor="gray [1629]">
                <v:textbox inset="21.6pt,21.6pt,21.6pt,21.6pt">
                  <w:txbxContent>
                    <w:p w14:paraId="68353A6D" w14:textId="267DC557" w:rsidR="00E86372" w:rsidRDefault="00E95412" w:rsidP="00E86372">
                      <w:pPr>
                        <w:rPr>
                          <w:color w:val="4F81BD" w:themeColor="accent1"/>
                        </w:rPr>
                      </w:pPr>
                      <w:r>
                        <w:rPr>
                          <w:noProof/>
                          <w:snapToGrid/>
                          <w:lang w:val="de-AT" w:eastAsia="de-AT"/>
                        </w:rPr>
                        <w:drawing>
                          <wp:inline distT="0" distB="0" distL="0" distR="0" wp14:anchorId="420871E6" wp14:editId="22DF4B04">
                            <wp:extent cx="1998116" cy="811988"/>
                            <wp:effectExtent l="0" t="0" r="2540" b="7620"/>
                            <wp:docPr id="3" name="Grafik 3" descr="C:\Users\mauritz\Desktop\BMK_Logo.jpg"/>
                            <wp:cNvGraphicFramePr/>
                            <a:graphic xmlns:a="http://schemas.openxmlformats.org/drawingml/2006/main">
                              <a:graphicData uri="http://schemas.openxmlformats.org/drawingml/2006/picture">
                                <pic:pic xmlns:pic="http://schemas.openxmlformats.org/drawingml/2006/picture">
                                  <pic:nvPicPr>
                                    <pic:cNvPr id="3" name="Grafik 3" descr="C:\Users\mauritz\Desktop\BMK_Logo.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1603" cy="821532"/>
                                    </a:xfrm>
                                    <a:prstGeom prst="rect">
                                      <a:avLst/>
                                    </a:prstGeom>
                                    <a:noFill/>
                                    <a:ln>
                                      <a:noFill/>
                                    </a:ln>
                                  </pic:spPr>
                                </pic:pic>
                              </a:graphicData>
                            </a:graphic>
                          </wp:inline>
                        </w:drawing>
                      </w:r>
                    </w:p>
                  </w:txbxContent>
                </v:textbox>
                <w10:wrap type="square" anchorx="margin" anchory="margin"/>
              </v:rect>
            </w:pict>
          </mc:Fallback>
        </mc:AlternateContent>
      </w:r>
    </w:p>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7777777" w:rsidR="00F57736" w:rsidRPr="003016DF" w:rsidRDefault="00F57736" w:rsidP="00F57736">
      <w:pPr>
        <w:jc w:val="center"/>
        <w:rPr>
          <w:b/>
          <w:sz w:val="28"/>
          <w:szCs w:val="28"/>
        </w:rPr>
      </w:pP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683539A4" w14:textId="08CD6DE7" w:rsidR="00E86372" w:rsidRPr="00E94D45" w:rsidRDefault="00E86372" w:rsidP="00E94D45">
      <w:pPr>
        <w:pStyle w:val="BodyText"/>
        <w:tabs>
          <w:tab w:val="left" w:pos="2127"/>
        </w:tabs>
        <w:rPr>
          <w:b/>
        </w:rPr>
      </w:pPr>
      <w:r>
        <w:rPr>
          <w:b/>
        </w:rPr>
        <w:t>Substance Name</w:t>
      </w:r>
      <w:r w:rsidRPr="003607CA">
        <w:rPr>
          <w:b/>
        </w:rPr>
        <w:t>:</w:t>
      </w:r>
      <w:r w:rsidR="00E95412">
        <w:rPr>
          <w:b/>
        </w:rPr>
        <w:t xml:space="preserve"> </w:t>
      </w:r>
      <w:r w:rsidR="00E94D45">
        <w:rPr>
          <w:b/>
        </w:rPr>
        <w:tab/>
      </w:r>
      <w:r w:rsidR="00E94D45" w:rsidRPr="00E94D45">
        <w:rPr>
          <w:b/>
        </w:rPr>
        <w:t>Bis(4-chlorophenyl) sulphone (BCPS)</w:t>
      </w:r>
    </w:p>
    <w:p w14:paraId="683539A5" w14:textId="621A9170" w:rsidR="00E86372" w:rsidRPr="00937276" w:rsidRDefault="00E86372" w:rsidP="00E94D45">
      <w:pPr>
        <w:pStyle w:val="BodyText"/>
        <w:tabs>
          <w:tab w:val="left" w:pos="2127"/>
        </w:tabs>
      </w:pPr>
      <w:r w:rsidRPr="003607CA">
        <w:rPr>
          <w:b/>
        </w:rPr>
        <w:t>EC Number:</w:t>
      </w:r>
      <w:r w:rsidR="00E94D45">
        <w:rPr>
          <w:b/>
        </w:rPr>
        <w:t xml:space="preserve"> </w:t>
      </w:r>
      <w:r w:rsidR="00E94D45">
        <w:rPr>
          <w:b/>
        </w:rPr>
        <w:tab/>
      </w:r>
      <w:r w:rsidR="00E94D45" w:rsidRPr="005C3A1D">
        <w:rPr>
          <w:b/>
        </w:rPr>
        <w:t>201-247-9</w:t>
      </w:r>
    </w:p>
    <w:p w14:paraId="683539A6" w14:textId="0F84020C" w:rsidR="00E86372" w:rsidRPr="00937276" w:rsidRDefault="00E86372" w:rsidP="00E86372">
      <w:pPr>
        <w:pStyle w:val="BodyText"/>
        <w:rPr>
          <w:sz w:val="32"/>
        </w:rPr>
      </w:pPr>
      <w:r w:rsidRPr="003607CA">
        <w:rPr>
          <w:b/>
        </w:rPr>
        <w:t>CAS Number:</w:t>
      </w:r>
      <w:r w:rsidR="00E94D45">
        <w:rPr>
          <w:b/>
        </w:rPr>
        <w:t xml:space="preserve"> </w:t>
      </w:r>
      <w:r w:rsidR="00E94D45">
        <w:rPr>
          <w:b/>
        </w:rPr>
        <w:tab/>
      </w:r>
      <w:r w:rsidR="00E94D45" w:rsidRPr="005C3A1D">
        <w:rPr>
          <w:b/>
        </w:rPr>
        <w:t>80-07-9</w:t>
      </w:r>
    </w:p>
    <w:p w14:paraId="683539A7" w14:textId="77777777" w:rsidR="00E86372" w:rsidRDefault="00E86372" w:rsidP="00E86372">
      <w:pPr>
        <w:pStyle w:val="BodyText"/>
        <w:rPr>
          <w:b/>
          <w:sz w:val="32"/>
        </w:rPr>
      </w:pPr>
    </w:p>
    <w:p w14:paraId="683539A8" w14:textId="02300EDC" w:rsidR="00E86372" w:rsidRDefault="00E86372" w:rsidP="00E94D45">
      <w:pPr>
        <w:pStyle w:val="BodyText"/>
        <w:tabs>
          <w:tab w:val="left" w:pos="2127"/>
        </w:tabs>
        <w:rPr>
          <w:b/>
          <w:sz w:val="32"/>
        </w:rPr>
      </w:pPr>
      <w:r w:rsidRPr="006119A2">
        <w:rPr>
          <w:b/>
        </w:rPr>
        <w:t>Authority:</w:t>
      </w:r>
      <w:r w:rsidR="00E94D45">
        <w:rPr>
          <w:b/>
        </w:rPr>
        <w:tab/>
        <w:t>Austria</w:t>
      </w:r>
    </w:p>
    <w:p w14:paraId="683539A9" w14:textId="30DF7680" w:rsidR="00E86372" w:rsidRDefault="00E86372" w:rsidP="00E94D45">
      <w:pPr>
        <w:pStyle w:val="BodyText"/>
        <w:tabs>
          <w:tab w:val="left" w:pos="2127"/>
        </w:tabs>
        <w:rPr>
          <w:b/>
        </w:rPr>
      </w:pPr>
      <w:r w:rsidRPr="003607CA">
        <w:rPr>
          <w:b/>
        </w:rPr>
        <w:t>Date:</w:t>
      </w:r>
      <w:r w:rsidR="00BB4EF3">
        <w:rPr>
          <w:b/>
        </w:rPr>
        <w:tab/>
        <w:t>September</w:t>
      </w:r>
      <w:r w:rsidR="00E94D45">
        <w:rPr>
          <w:b/>
        </w:rPr>
        <w:t>, 2022</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4"/>
          <w:footerReference w:type="default" r:id="rId15"/>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The author does not accept any liability with regard to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on the basis of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6"/>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in order to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(e.g. harmonised classification and labelling, Candidate List inclusion, restriction, other EU legislation) or that no regulatory action is required at EU level. Any subsequent regulatory processes under the REACH Regulation include consultation of interested parties and appropriate decision making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to conclude whether regulatory risk management activities are required for a substance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594B4044" w14:textId="46CBCF88" w:rsidR="009D6A1D" w:rsidRDefault="009D6A1D" w:rsidP="00C94F53">
      <w:pPr>
        <w:jc w:val="both"/>
      </w:pPr>
      <w:r w:rsidRPr="00DE6A70">
        <w:t>Bis(4-chlorophenyl)sulphone</w:t>
      </w:r>
      <w:r w:rsidRPr="005C3A1D">
        <w:t xml:space="preserve"> </w:t>
      </w:r>
      <w:r>
        <w:t>(</w:t>
      </w:r>
      <w:r w:rsidRPr="005C3A1D">
        <w:t>BCPS</w:t>
      </w:r>
      <w:r>
        <w:t>)</w:t>
      </w:r>
      <w:r w:rsidR="00E94D45" w:rsidRPr="005C3A1D">
        <w:t xml:space="preserve"> has been listed on the </w:t>
      </w:r>
      <w:r>
        <w:t xml:space="preserve">REACH </w:t>
      </w:r>
      <w:r w:rsidR="00E94D45" w:rsidRPr="005C3A1D">
        <w:t>CoRAP because of suspected PBT/vPvB properties, high aggregated tonnage</w:t>
      </w:r>
      <w:r w:rsidR="00E94D45">
        <w:t>s</w:t>
      </w:r>
      <w:r w:rsidR="00E94D45" w:rsidRPr="005C3A1D">
        <w:t xml:space="preserve"> and wide dispersive use. Substance evaluation</w:t>
      </w:r>
      <w:r w:rsidR="00E94D45">
        <w:t xml:space="preserve"> (SEv)</w:t>
      </w:r>
      <w:r w:rsidR="00E94D45" w:rsidRPr="005C3A1D">
        <w:t xml:space="preserve"> has </w:t>
      </w:r>
      <w:r w:rsidR="00E94D45">
        <w:t xml:space="preserve">been </w:t>
      </w:r>
      <w:r w:rsidR="00E94D45" w:rsidRPr="005C3A1D">
        <w:t xml:space="preserve">started in March 2019 by the evaluating MS Austria </w:t>
      </w:r>
      <w:r w:rsidR="00E94D45">
        <w:t>and</w:t>
      </w:r>
      <w:r w:rsidR="00E94D45" w:rsidRPr="005C3A1D">
        <w:t xml:space="preserve"> final</w:t>
      </w:r>
      <w:r w:rsidR="00E94D45">
        <w:t>i</w:t>
      </w:r>
      <w:r w:rsidR="00E94D45" w:rsidRPr="005C3A1D">
        <w:t>zed in March 2020</w:t>
      </w:r>
      <w:r w:rsidR="00E94D45">
        <w:t>;</w:t>
      </w:r>
      <w:r w:rsidR="00E94D45" w:rsidRPr="005C3A1D">
        <w:t xml:space="preserve"> a SEv Conclusion Document </w:t>
      </w:r>
      <w:r w:rsidR="00E94D45">
        <w:t>is available</w:t>
      </w:r>
      <w:r w:rsidR="00E94D45" w:rsidRPr="009D6A1D">
        <w:rPr>
          <w:vertAlign w:val="superscript"/>
        </w:rPr>
        <w:footnoteReference w:id="2"/>
      </w:r>
      <w:r w:rsidR="00E94D45">
        <w:t>.</w:t>
      </w:r>
      <w:r w:rsidR="00E94D45" w:rsidRPr="005C3A1D">
        <w:t xml:space="preserve"> An</w:t>
      </w:r>
      <w:r w:rsidR="00E94D45" w:rsidRPr="0073457D">
        <w:t xml:space="preserve"> extended one</w:t>
      </w:r>
      <w:r w:rsidR="00E94D45">
        <w:t xml:space="preserve"> generation reproductive</w:t>
      </w:r>
      <w:r w:rsidR="00E94D45" w:rsidRPr="0073457D">
        <w:t xml:space="preserve"> toxicity</w:t>
      </w:r>
      <w:r w:rsidR="00E94D45">
        <w:t xml:space="preserve"> study (</w:t>
      </w:r>
      <w:r w:rsidR="00E94D45" w:rsidRPr="005C3A1D">
        <w:t>EOGRTS</w:t>
      </w:r>
      <w:r w:rsidR="00E94D45">
        <w:t>)</w:t>
      </w:r>
      <w:r w:rsidR="00E94D45" w:rsidRPr="005C3A1D">
        <w:t xml:space="preserve"> will be carried out following a </w:t>
      </w:r>
      <w:r w:rsidR="00E94D45">
        <w:t>testing proposal examination (</w:t>
      </w:r>
      <w:r w:rsidR="00E94D45" w:rsidRPr="005C3A1D">
        <w:t>TPE</w:t>
      </w:r>
      <w:r w:rsidR="00E94D45">
        <w:t>).</w:t>
      </w:r>
      <w:r>
        <w:t xml:space="preserve"> BCPS </w:t>
      </w:r>
      <w:r w:rsidRPr="005C3A1D">
        <w:t xml:space="preserve">is self-classified under the CLP Regulation (Regulation (EC) </w:t>
      </w:r>
      <w:r>
        <w:t xml:space="preserve">No </w:t>
      </w:r>
      <w:r w:rsidRPr="005C3A1D">
        <w:t>1272/2008) by the Registrant(s) and additional notifiers.</w:t>
      </w:r>
    </w:p>
    <w:p w14:paraId="13FD7FAE" w14:textId="77777777" w:rsidR="009D6A1D" w:rsidRDefault="009D6A1D" w:rsidP="00C94F53">
      <w:pPr>
        <w:jc w:val="both"/>
      </w:pPr>
    </w:p>
    <w:p w14:paraId="44E9D55A" w14:textId="1B7F2803" w:rsidR="00E94D45" w:rsidRDefault="00E94D45" w:rsidP="00C94F53">
      <w:pPr>
        <w:jc w:val="both"/>
      </w:pPr>
      <w:r w:rsidRPr="00EF13D1">
        <w:t xml:space="preserve">An overview of relevant </w:t>
      </w:r>
      <w:r>
        <w:t>processes</w:t>
      </w:r>
      <w:r w:rsidRPr="00EF13D1">
        <w:t xml:space="preserve"> for BCPS is given in Table</w:t>
      </w:r>
      <w:r>
        <w:t xml:space="preserve"> 1</w:t>
      </w:r>
      <w:r w:rsidRPr="00EF13D1">
        <w:t xml:space="preserve"> below. </w:t>
      </w:r>
    </w:p>
    <w:p w14:paraId="35EC9C10" w14:textId="77777777" w:rsidR="00C94F53" w:rsidRPr="00EF13D1" w:rsidRDefault="00C94F53" w:rsidP="00C94F53">
      <w:pPr>
        <w:jc w:val="both"/>
      </w:pPr>
    </w:p>
    <w:p w14:paraId="59AAB822" w14:textId="7E02BA95" w:rsidR="00E94D45" w:rsidRDefault="00E94D45" w:rsidP="00E94D45">
      <w:pPr>
        <w:pStyle w:val="Caption"/>
        <w:rPr>
          <w:rFonts w:ascii="Verdana" w:hAnsi="Verdana"/>
          <w:b/>
          <w:sz w:val="20"/>
        </w:rPr>
      </w:pPr>
      <w:bookmarkStart w:id="1" w:name="_Toc78277903"/>
      <w:r w:rsidRPr="007D2EEF">
        <w:rPr>
          <w:rFonts w:ascii="Verdana" w:hAnsi="Verdana"/>
          <w:b/>
          <w:sz w:val="20"/>
        </w:rPr>
        <w:t>Table</w:t>
      </w:r>
      <w:r>
        <w:rPr>
          <w:rFonts w:ascii="Verdana" w:hAnsi="Verdana"/>
          <w:b/>
          <w:sz w:val="20"/>
        </w:rPr>
        <w:t xml:space="preserve"> 1</w:t>
      </w:r>
      <w:r w:rsidRPr="007D2EEF">
        <w:rPr>
          <w:rFonts w:ascii="Verdana" w:hAnsi="Verdana"/>
          <w:b/>
          <w:sz w:val="20"/>
        </w:rPr>
        <w:t>: Completed or ongoing processes</w:t>
      </w:r>
      <w:bookmarkEnd w:id="1"/>
    </w:p>
    <w:tbl>
      <w:tblPr>
        <w:tblStyle w:val="TableGrid"/>
        <w:tblW w:w="0" w:type="auto"/>
        <w:tblInd w:w="-34" w:type="dxa"/>
        <w:tblLayout w:type="fixed"/>
        <w:tblLook w:val="04A0" w:firstRow="1" w:lastRow="0" w:firstColumn="1" w:lastColumn="0" w:noHBand="0" w:noVBand="1"/>
      </w:tblPr>
      <w:tblGrid>
        <w:gridCol w:w="1418"/>
        <w:gridCol w:w="1134"/>
        <w:gridCol w:w="5812"/>
      </w:tblGrid>
      <w:tr w:rsidR="00E94D45" w:rsidRPr="00DC3C42" w14:paraId="4732FF7F" w14:textId="77777777" w:rsidTr="00155022">
        <w:trPr>
          <w:cantSplit/>
          <w:trHeight w:val="901"/>
        </w:trPr>
        <w:tc>
          <w:tcPr>
            <w:tcW w:w="1418" w:type="dxa"/>
            <w:textDirection w:val="btLr"/>
            <w:vAlign w:val="center"/>
          </w:tcPr>
          <w:p w14:paraId="0566D369" w14:textId="77777777" w:rsidR="00E94D45" w:rsidRPr="00D06EB3" w:rsidRDefault="00E94D45" w:rsidP="00155022">
            <w:pPr>
              <w:pStyle w:val="BodyText"/>
              <w:spacing w:before="120" w:after="0"/>
              <w:ind w:left="113" w:right="113"/>
              <w:jc w:val="center"/>
            </w:pPr>
            <w:r>
              <w:t>RMOA</w:t>
            </w:r>
          </w:p>
        </w:tc>
        <w:tc>
          <w:tcPr>
            <w:tcW w:w="1134" w:type="dxa"/>
            <w:tcBorders>
              <w:right w:val="nil"/>
            </w:tcBorders>
            <w:shd w:val="clear" w:color="auto" w:fill="auto"/>
            <w:textDirection w:val="btLr"/>
            <w:vAlign w:val="center"/>
          </w:tcPr>
          <w:p w14:paraId="54C91B91" w14:textId="77777777" w:rsidR="00E94D45" w:rsidRPr="009845E0" w:rsidRDefault="00E94D45" w:rsidP="00155022">
            <w:pPr>
              <w:pStyle w:val="BodyText"/>
              <w:spacing w:before="120" w:after="0"/>
              <w:ind w:left="113" w:right="113"/>
              <w:jc w:val="center"/>
            </w:pPr>
          </w:p>
        </w:tc>
        <w:tc>
          <w:tcPr>
            <w:tcW w:w="5812" w:type="dxa"/>
            <w:tcBorders>
              <w:left w:val="nil"/>
            </w:tcBorders>
            <w:shd w:val="clear" w:color="auto" w:fill="auto"/>
            <w:vAlign w:val="center"/>
          </w:tcPr>
          <w:p w14:paraId="42335AE6" w14:textId="77777777" w:rsidR="00E94D45" w:rsidRPr="00404EE1" w:rsidRDefault="00DA17E4" w:rsidP="00155022">
            <w:pPr>
              <w:pStyle w:val="BodyText"/>
              <w:spacing w:before="120" w:after="0"/>
              <w:ind w:left="317" w:hanging="317"/>
            </w:pPr>
            <w:sdt>
              <w:sdtPr>
                <w:rPr>
                  <w:szCs w:val="24"/>
                </w:rPr>
                <w:id w:val="1902332067"/>
                <w14:checkbox>
                  <w14:checked w14:val="0"/>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404EE1">
              <w:t xml:space="preserve"> </w:t>
            </w:r>
            <w:r w:rsidR="00E94D45">
              <w:t>Risk Manage</w:t>
            </w:r>
            <w:r w:rsidR="00E94D45" w:rsidRPr="00C220E5">
              <w:t xml:space="preserve">ment Option Analysis </w:t>
            </w:r>
            <w:r w:rsidR="00E94D45">
              <w:t>(RMOA) other than this RMOA</w:t>
            </w:r>
          </w:p>
        </w:tc>
      </w:tr>
      <w:tr w:rsidR="00E94D45" w:rsidRPr="00DC3C42" w14:paraId="05CBF7F9" w14:textId="77777777" w:rsidTr="00155022">
        <w:trPr>
          <w:cantSplit/>
          <w:trHeight w:val="1701"/>
        </w:trPr>
        <w:tc>
          <w:tcPr>
            <w:tcW w:w="1418" w:type="dxa"/>
            <w:vMerge w:val="restart"/>
            <w:textDirection w:val="btLr"/>
            <w:vAlign w:val="center"/>
          </w:tcPr>
          <w:p w14:paraId="0A809217" w14:textId="77777777" w:rsidR="00E94D45" w:rsidRDefault="00E94D45" w:rsidP="00155022">
            <w:pPr>
              <w:pStyle w:val="BodyText"/>
              <w:spacing w:before="120" w:after="0"/>
              <w:ind w:left="113" w:right="113"/>
              <w:jc w:val="center"/>
            </w:pPr>
            <w:r>
              <w:t>REACH</w:t>
            </w:r>
            <w:r w:rsidRPr="00D06EB3">
              <w:t xml:space="preserve"> Processes</w:t>
            </w:r>
          </w:p>
        </w:tc>
        <w:tc>
          <w:tcPr>
            <w:tcW w:w="1134" w:type="dxa"/>
            <w:textDirection w:val="btLr"/>
            <w:vAlign w:val="center"/>
          </w:tcPr>
          <w:p w14:paraId="017145DD" w14:textId="77777777" w:rsidR="00E94D45" w:rsidRPr="00E813C2" w:rsidRDefault="00E94D45" w:rsidP="00155022">
            <w:pPr>
              <w:pStyle w:val="BodyText"/>
              <w:spacing w:before="120" w:after="0"/>
              <w:ind w:left="113" w:right="113"/>
              <w:jc w:val="center"/>
            </w:pPr>
            <w:r>
              <w:t>Registration</w:t>
            </w:r>
          </w:p>
        </w:tc>
        <w:tc>
          <w:tcPr>
            <w:tcW w:w="5812" w:type="dxa"/>
            <w:vAlign w:val="center"/>
          </w:tcPr>
          <w:p w14:paraId="7191EA07" w14:textId="36897817" w:rsidR="00E94D45" w:rsidRDefault="00DA17E4" w:rsidP="00E71C79">
            <w:pPr>
              <w:pStyle w:val="BodyText"/>
              <w:spacing w:before="120" w:after="0"/>
              <w:rPr>
                <w:szCs w:val="24"/>
              </w:rPr>
            </w:pPr>
            <w:sdt>
              <w:sdtPr>
                <w:rPr>
                  <w:szCs w:val="24"/>
                </w:rPr>
                <w:id w:val="1335880322"/>
                <w14:checkbox>
                  <w14:checked w14:val="1"/>
                  <w14:checkedState w14:val="2612" w14:font="MS Gothic"/>
                  <w14:uncheckedState w14:val="2610" w14:font="MS Gothic"/>
                </w14:checkbox>
              </w:sdtPr>
              <w:sdtEndPr/>
              <w:sdtContent>
                <w:r w:rsidR="00E71C79">
                  <w:rPr>
                    <w:rFonts w:ascii="MS Gothic" w:eastAsia="MS Gothic" w:hAnsi="MS Gothic" w:hint="eastAsia"/>
                    <w:szCs w:val="24"/>
                  </w:rPr>
                  <w:t>☒</w:t>
                </w:r>
              </w:sdtContent>
            </w:sdt>
            <w:r w:rsidR="00E94D45" w:rsidRPr="00C0086F">
              <w:rPr>
                <w:color w:val="CC9900"/>
              </w:rPr>
              <w:t xml:space="preserve"> </w:t>
            </w:r>
            <w:r w:rsidR="00E94D45" w:rsidRPr="005C3A1D">
              <w:t xml:space="preserve">Registration of </w:t>
            </w:r>
            <w:r w:rsidR="00E71C79">
              <w:t>manufacture</w:t>
            </w:r>
            <w:r w:rsidR="00E94D45" w:rsidRPr="005C3A1D">
              <w:t xml:space="preserve"> and</w:t>
            </w:r>
            <w:r w:rsidR="00E71C79">
              <w:t>/or</w:t>
            </w:r>
            <w:r w:rsidR="00E94D45" w:rsidRPr="005C3A1D">
              <w:t xml:space="preserve"> </w:t>
            </w:r>
            <w:r w:rsidR="00E71C79">
              <w:t>import</w:t>
            </w:r>
            <w:r w:rsidR="00E94D45" w:rsidRPr="005C3A1D">
              <w:t>:</w:t>
            </w:r>
            <w:r w:rsidR="00D87813">
              <w:t xml:space="preserve">  </w:t>
            </w:r>
            <w:r w:rsidR="00D87813">
              <w:br/>
              <w:t>Tonnage band: 1,000 - 10</w:t>
            </w:r>
            <w:r w:rsidR="00E94D45" w:rsidRPr="005C3A1D">
              <w:t>,000 t/yr.</w:t>
            </w:r>
          </w:p>
        </w:tc>
      </w:tr>
      <w:tr w:rsidR="00E94D45" w:rsidRPr="00DC3C42" w14:paraId="357000E3" w14:textId="77777777" w:rsidTr="00155022">
        <w:trPr>
          <w:cantSplit/>
          <w:trHeight w:val="559"/>
        </w:trPr>
        <w:tc>
          <w:tcPr>
            <w:tcW w:w="1418" w:type="dxa"/>
            <w:vMerge/>
            <w:textDirection w:val="btLr"/>
            <w:vAlign w:val="center"/>
          </w:tcPr>
          <w:p w14:paraId="7CF4B9FC" w14:textId="77777777" w:rsidR="00E94D45" w:rsidRPr="00D06EB3" w:rsidRDefault="00E94D45" w:rsidP="00155022">
            <w:pPr>
              <w:pStyle w:val="BodyText"/>
              <w:spacing w:before="120" w:after="0"/>
              <w:ind w:left="113" w:right="113"/>
              <w:jc w:val="center"/>
            </w:pPr>
          </w:p>
        </w:tc>
        <w:tc>
          <w:tcPr>
            <w:tcW w:w="1134" w:type="dxa"/>
            <w:vMerge w:val="restart"/>
            <w:textDirection w:val="btLr"/>
            <w:vAlign w:val="center"/>
          </w:tcPr>
          <w:p w14:paraId="538FF108" w14:textId="77777777" w:rsidR="00E94D45" w:rsidRPr="009845E0" w:rsidRDefault="00E94D45" w:rsidP="00155022">
            <w:pPr>
              <w:pStyle w:val="BodyText"/>
              <w:spacing w:before="120" w:after="0"/>
              <w:ind w:left="113" w:right="113"/>
              <w:jc w:val="center"/>
            </w:pPr>
            <w:r w:rsidRPr="00E813C2">
              <w:t>Evaluation</w:t>
            </w:r>
          </w:p>
        </w:tc>
        <w:tc>
          <w:tcPr>
            <w:tcW w:w="5812" w:type="dxa"/>
            <w:vAlign w:val="center"/>
          </w:tcPr>
          <w:p w14:paraId="541E9CBE" w14:textId="77777777" w:rsidR="00E94D45" w:rsidRPr="005C3A1D" w:rsidRDefault="00DA17E4" w:rsidP="00155022">
            <w:pPr>
              <w:spacing w:after="120"/>
            </w:pPr>
            <w:sdt>
              <w:sdtPr>
                <w:id w:val="1618794995"/>
                <w14:checkbox>
                  <w14:checked w14:val="1"/>
                  <w14:checkedState w14:val="2612" w14:font="MS Gothic"/>
                  <w14:uncheckedState w14:val="2610" w14:font="MS Gothic"/>
                </w14:checkbox>
              </w:sdtPr>
              <w:sdtEndPr/>
              <w:sdtContent>
                <w:r w:rsidR="00E94D45">
                  <w:rPr>
                    <w:rFonts w:ascii="MS Gothic" w:eastAsia="MS Gothic" w:hAnsi="MS Gothic" w:hint="eastAsia"/>
                  </w:rPr>
                  <w:t>☒</w:t>
                </w:r>
              </w:sdtContent>
            </w:sdt>
            <w:r w:rsidR="00E94D45" w:rsidRPr="00404EE1">
              <w:t xml:space="preserve"> </w:t>
            </w:r>
            <w:r w:rsidR="00E94D45" w:rsidRPr="005C3A1D">
              <w:t>Targeted Compliance check concluded, final decision 27</w:t>
            </w:r>
            <w:r w:rsidR="00E94D45">
              <w:t>.08.2014, Decision´s deadline 04.12</w:t>
            </w:r>
            <w:r w:rsidR="00E94D45" w:rsidRPr="005C3A1D">
              <w:t>.2014</w:t>
            </w:r>
            <w:r w:rsidR="00E94D45">
              <w:t>. The requested analytical data have been provided.</w:t>
            </w:r>
          </w:p>
        </w:tc>
      </w:tr>
      <w:tr w:rsidR="00E94D45" w:rsidRPr="00DC3C42" w14:paraId="62D7BFFF" w14:textId="77777777" w:rsidTr="00155022">
        <w:trPr>
          <w:cantSplit/>
          <w:trHeight w:val="553"/>
        </w:trPr>
        <w:tc>
          <w:tcPr>
            <w:tcW w:w="1418" w:type="dxa"/>
            <w:vMerge/>
            <w:textDirection w:val="btLr"/>
            <w:vAlign w:val="center"/>
          </w:tcPr>
          <w:p w14:paraId="24DED278" w14:textId="77777777" w:rsidR="00E94D45" w:rsidRPr="00D06EB3" w:rsidRDefault="00E94D45" w:rsidP="00155022">
            <w:pPr>
              <w:pStyle w:val="BodyText"/>
              <w:spacing w:before="120" w:after="0"/>
              <w:ind w:left="113" w:right="113"/>
              <w:jc w:val="center"/>
            </w:pPr>
          </w:p>
        </w:tc>
        <w:tc>
          <w:tcPr>
            <w:tcW w:w="1134" w:type="dxa"/>
            <w:vMerge/>
            <w:textDirection w:val="btLr"/>
            <w:vAlign w:val="center"/>
          </w:tcPr>
          <w:p w14:paraId="133CFC72" w14:textId="77777777" w:rsidR="00E94D45" w:rsidRPr="009845E0" w:rsidRDefault="00E94D45" w:rsidP="00155022">
            <w:pPr>
              <w:pStyle w:val="BodyText"/>
              <w:spacing w:before="120" w:after="0"/>
              <w:ind w:left="113" w:right="113"/>
              <w:jc w:val="center"/>
            </w:pPr>
          </w:p>
        </w:tc>
        <w:tc>
          <w:tcPr>
            <w:tcW w:w="5812" w:type="dxa"/>
            <w:vAlign w:val="center"/>
          </w:tcPr>
          <w:p w14:paraId="25AD5365" w14:textId="77777777" w:rsidR="00E94D45" w:rsidRPr="005C3A1D" w:rsidRDefault="00DA17E4" w:rsidP="00155022">
            <w:pPr>
              <w:spacing w:after="120"/>
            </w:pPr>
            <w:sdt>
              <w:sdtPr>
                <w:id w:val="-555246610"/>
                <w14:checkbox>
                  <w14:checked w14:val="1"/>
                  <w14:checkedState w14:val="2612" w14:font="MS Gothic"/>
                  <w14:uncheckedState w14:val="2610" w14:font="MS Gothic"/>
                </w14:checkbox>
              </w:sdtPr>
              <w:sdtEndPr/>
              <w:sdtContent>
                <w:r w:rsidR="00E94D45">
                  <w:rPr>
                    <w:rFonts w:ascii="MS Gothic" w:eastAsia="MS Gothic" w:hAnsi="MS Gothic" w:hint="eastAsia"/>
                  </w:rPr>
                  <w:t>☒</w:t>
                </w:r>
              </w:sdtContent>
            </w:sdt>
            <w:r w:rsidR="00E94D45" w:rsidRPr="00404EE1">
              <w:t xml:space="preserve"> </w:t>
            </w:r>
            <w:r w:rsidR="00E94D45">
              <w:t>Testing proposal: Two t</w:t>
            </w:r>
            <w:r w:rsidR="00E94D45" w:rsidRPr="005C3A1D">
              <w:t>esting proposals (TPEs)</w:t>
            </w:r>
          </w:p>
          <w:p w14:paraId="05650317" w14:textId="77777777" w:rsidR="00E94D45" w:rsidRDefault="00E94D45" w:rsidP="00155022">
            <w:pPr>
              <w:spacing w:after="120"/>
            </w:pPr>
            <w:r>
              <w:t>First</w:t>
            </w:r>
            <w:r w:rsidRPr="005C3A1D">
              <w:t xml:space="preserve"> TPE concluded, Decision date 31.05.2013</w:t>
            </w:r>
            <w:r>
              <w:t>. Decision deadline 31</w:t>
            </w:r>
            <w:r w:rsidRPr="005C3A1D">
              <w:t>.</w:t>
            </w:r>
            <w:r>
              <w:t>05.2014</w:t>
            </w:r>
            <w:r>
              <w:rPr>
                <w:rStyle w:val="FootnoteReference"/>
              </w:rPr>
              <w:footnoteReference w:id="3"/>
            </w:r>
            <w:r>
              <w:t>. The requested data (Pre-natal developmental toxicity study (OECD TG 314); Sediment simulation testing (OECD TG 308); Long-term toxicity to sediment organisms (OECD TG 218) have been provided.</w:t>
            </w:r>
          </w:p>
          <w:p w14:paraId="0F344214" w14:textId="5D9FAFF6" w:rsidR="00E94D45" w:rsidRPr="00FF1B48" w:rsidRDefault="00E94D45" w:rsidP="00AF7287">
            <w:pPr>
              <w:spacing w:after="120"/>
            </w:pPr>
            <w:r>
              <w:t xml:space="preserve">Second </w:t>
            </w:r>
            <w:r w:rsidRPr="005C3A1D">
              <w:t>T</w:t>
            </w:r>
            <w:r>
              <w:t>PE</w:t>
            </w:r>
            <w:r w:rsidRPr="005C3A1D">
              <w:t xml:space="preserve"> (TPE-076/2018)</w:t>
            </w:r>
            <w:r>
              <w:t>, information requested</w:t>
            </w:r>
            <w:r w:rsidRPr="005C3A1D">
              <w:t>: Toxicity to reproduction, discussed at MSC-62, 2018; decision date: 30.01.2019, Registrant(s) are requested to carry out an EOGRTS (</w:t>
            </w:r>
            <w:r>
              <w:t>OECD TG 443) in rats, decision</w:t>
            </w:r>
            <w:r w:rsidRPr="005C3A1D">
              <w:t xml:space="preserve"> deadline for data submission: </w:t>
            </w:r>
            <w:r>
              <w:t>0</w:t>
            </w:r>
            <w:r w:rsidRPr="005C3A1D">
              <w:t>6.</w:t>
            </w:r>
            <w:r>
              <w:t>08.</w:t>
            </w:r>
            <w:r w:rsidRPr="005C3A1D">
              <w:t>2021</w:t>
            </w:r>
            <w:r w:rsidRPr="0058393F">
              <w:rPr>
                <w:vertAlign w:val="superscript"/>
              </w:rPr>
              <w:footnoteReference w:id="4"/>
            </w:r>
            <w:r w:rsidRPr="005C3A1D">
              <w:t>.</w:t>
            </w:r>
            <w:r>
              <w:t xml:space="preserve"> </w:t>
            </w:r>
          </w:p>
        </w:tc>
      </w:tr>
      <w:tr w:rsidR="00E94D45" w:rsidRPr="00DC3C42" w14:paraId="1D604154" w14:textId="77777777" w:rsidTr="00155022">
        <w:trPr>
          <w:cantSplit/>
          <w:trHeight w:val="561"/>
        </w:trPr>
        <w:tc>
          <w:tcPr>
            <w:tcW w:w="1418" w:type="dxa"/>
            <w:vMerge/>
            <w:textDirection w:val="btLr"/>
            <w:vAlign w:val="center"/>
          </w:tcPr>
          <w:p w14:paraId="09ED8576" w14:textId="77777777" w:rsidR="00E94D45" w:rsidRPr="00D06EB3" w:rsidRDefault="00E94D45" w:rsidP="00155022">
            <w:pPr>
              <w:pStyle w:val="BodyText"/>
              <w:spacing w:before="120" w:after="0"/>
              <w:ind w:left="113" w:right="113"/>
              <w:jc w:val="center"/>
            </w:pPr>
          </w:p>
        </w:tc>
        <w:tc>
          <w:tcPr>
            <w:tcW w:w="1134" w:type="dxa"/>
            <w:vMerge/>
            <w:textDirection w:val="btLr"/>
            <w:vAlign w:val="center"/>
          </w:tcPr>
          <w:p w14:paraId="7825C1F3" w14:textId="77777777" w:rsidR="00E94D45" w:rsidRPr="009845E0" w:rsidRDefault="00E94D45" w:rsidP="00155022">
            <w:pPr>
              <w:pStyle w:val="BodyText"/>
              <w:spacing w:before="120" w:after="0"/>
              <w:ind w:left="113" w:right="113"/>
              <w:jc w:val="center"/>
            </w:pPr>
          </w:p>
        </w:tc>
        <w:tc>
          <w:tcPr>
            <w:tcW w:w="5812" w:type="dxa"/>
            <w:vAlign w:val="center"/>
          </w:tcPr>
          <w:p w14:paraId="5B8E8F6C" w14:textId="03367F7A" w:rsidR="00E94D45" w:rsidRPr="005C3A1D" w:rsidRDefault="00DA17E4" w:rsidP="00155022">
            <w:pPr>
              <w:pStyle w:val="BodyText"/>
              <w:spacing w:before="120" w:after="0"/>
            </w:pPr>
            <w:sdt>
              <w:sdtPr>
                <w:rPr>
                  <w:szCs w:val="24"/>
                </w:rPr>
                <w:id w:val="1708519159"/>
                <w14:checkbox>
                  <w14:checked w14:val="1"/>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404EE1">
              <w:t xml:space="preserve"> </w:t>
            </w:r>
            <w:r w:rsidR="00E94D45">
              <w:t xml:space="preserve">CoRAP and Substance Evaluation: </w:t>
            </w:r>
            <w:r w:rsidR="00E94D45">
              <w:br/>
            </w:r>
            <w:r w:rsidR="00E71C79">
              <w:t>Started</w:t>
            </w:r>
            <w:r w:rsidR="00E94D45" w:rsidRPr="005C3A1D">
              <w:t xml:space="preserve"> in March 2019 by Austria based on following initial concerns:</w:t>
            </w:r>
          </w:p>
          <w:p w14:paraId="0720FDBA" w14:textId="77777777" w:rsidR="00E94D45" w:rsidRPr="005C3A1D" w:rsidRDefault="00E94D45" w:rsidP="00E94D45">
            <w:pPr>
              <w:pStyle w:val="BodyText"/>
              <w:widowControl/>
              <w:numPr>
                <w:ilvl w:val="0"/>
                <w:numId w:val="14"/>
              </w:numPr>
              <w:spacing w:before="120" w:after="0"/>
              <w:jc w:val="both"/>
            </w:pPr>
            <w:r w:rsidRPr="005C3A1D">
              <w:t>Suspected PBT/vPvB</w:t>
            </w:r>
          </w:p>
          <w:p w14:paraId="17B273BB" w14:textId="77777777" w:rsidR="00E94D45" w:rsidRPr="005C3A1D" w:rsidRDefault="00E94D45" w:rsidP="00E94D45">
            <w:pPr>
              <w:pStyle w:val="BodyText"/>
              <w:widowControl/>
              <w:numPr>
                <w:ilvl w:val="0"/>
                <w:numId w:val="14"/>
              </w:numPr>
              <w:spacing w:before="120" w:after="0"/>
              <w:jc w:val="both"/>
            </w:pPr>
            <w:r w:rsidRPr="005C3A1D">
              <w:t>High aggregated tonnage</w:t>
            </w:r>
          </w:p>
          <w:p w14:paraId="340E9863" w14:textId="77777777" w:rsidR="00E94D45" w:rsidRDefault="00E94D45" w:rsidP="00E94D45">
            <w:pPr>
              <w:pStyle w:val="BodyText"/>
              <w:widowControl/>
              <w:numPr>
                <w:ilvl w:val="0"/>
                <w:numId w:val="14"/>
              </w:numPr>
              <w:spacing w:before="120" w:after="0"/>
              <w:jc w:val="both"/>
            </w:pPr>
            <w:r w:rsidRPr="005C3A1D">
              <w:t>Wide dispersive use</w:t>
            </w:r>
          </w:p>
          <w:p w14:paraId="2EF8E46F" w14:textId="77777777" w:rsidR="00E94D45" w:rsidRPr="00404EE1" w:rsidRDefault="00E94D45" w:rsidP="00155022">
            <w:pPr>
              <w:pStyle w:val="BodyText"/>
              <w:spacing w:before="120" w:after="0"/>
            </w:pPr>
            <w:r>
              <w:t>Concluded 2020</w:t>
            </w:r>
            <w:bookmarkStart w:id="2" w:name="_Ref97640057"/>
            <w:r>
              <w:rPr>
                <w:rStyle w:val="FootnoteReference"/>
              </w:rPr>
              <w:footnoteReference w:id="5"/>
            </w:r>
            <w:bookmarkEnd w:id="2"/>
            <w:r>
              <w:t xml:space="preserve"> (Conclusion: N</w:t>
            </w:r>
            <w:r w:rsidRPr="00CA541F">
              <w:t>eed for follow-up regulatory action at EU level to be discussed in an RMOA</w:t>
            </w:r>
            <w:r>
              <w:t>)</w:t>
            </w:r>
          </w:p>
        </w:tc>
      </w:tr>
      <w:tr w:rsidR="00E94D45" w:rsidRPr="00DC3C42" w14:paraId="461013ED" w14:textId="77777777" w:rsidTr="00155022">
        <w:trPr>
          <w:cantSplit/>
          <w:trHeight w:val="838"/>
        </w:trPr>
        <w:tc>
          <w:tcPr>
            <w:tcW w:w="1418" w:type="dxa"/>
            <w:vMerge/>
            <w:textDirection w:val="btLr"/>
            <w:vAlign w:val="center"/>
          </w:tcPr>
          <w:p w14:paraId="10B7068A" w14:textId="77777777" w:rsidR="00E94D45" w:rsidRPr="00D06EB3" w:rsidRDefault="00E94D45" w:rsidP="00155022">
            <w:pPr>
              <w:pStyle w:val="BodyText"/>
              <w:spacing w:before="120" w:after="0"/>
              <w:ind w:left="113" w:right="113"/>
              <w:jc w:val="center"/>
            </w:pPr>
          </w:p>
        </w:tc>
        <w:tc>
          <w:tcPr>
            <w:tcW w:w="1134" w:type="dxa"/>
            <w:vMerge w:val="restart"/>
            <w:textDirection w:val="btLr"/>
            <w:vAlign w:val="center"/>
          </w:tcPr>
          <w:p w14:paraId="5882997F" w14:textId="77777777" w:rsidR="00E94D45" w:rsidRPr="00D06EB3" w:rsidRDefault="00E94D45" w:rsidP="00155022">
            <w:pPr>
              <w:pStyle w:val="BodyText"/>
              <w:spacing w:before="120" w:after="0"/>
              <w:ind w:left="113" w:right="113"/>
              <w:jc w:val="center"/>
            </w:pPr>
            <w:r w:rsidRPr="009845E0">
              <w:t>Authori</w:t>
            </w:r>
            <w:r>
              <w:t>s</w:t>
            </w:r>
            <w:r w:rsidRPr="009845E0">
              <w:t>ation</w:t>
            </w:r>
          </w:p>
        </w:tc>
        <w:tc>
          <w:tcPr>
            <w:tcW w:w="5812" w:type="dxa"/>
            <w:vAlign w:val="center"/>
          </w:tcPr>
          <w:p w14:paraId="25479446" w14:textId="77777777" w:rsidR="00E94D45" w:rsidRPr="00404EE1" w:rsidRDefault="00DA17E4" w:rsidP="00155022">
            <w:pPr>
              <w:pStyle w:val="BodyText"/>
              <w:spacing w:before="120" w:after="0"/>
            </w:pPr>
            <w:sdt>
              <w:sdtPr>
                <w:rPr>
                  <w:szCs w:val="24"/>
                </w:rPr>
                <w:id w:val="-1573199791"/>
                <w14:checkbox>
                  <w14:checked w14:val="0"/>
                  <w14:checkedState w14:val="2612" w14:font="MS Gothic"/>
                  <w14:uncheckedState w14:val="2610" w14:font="MS Gothic"/>
                </w14:checkbox>
              </w:sdtPr>
              <w:sdtEndPr/>
              <w:sdtContent>
                <w:r w:rsidR="00E94D45" w:rsidRPr="005C7C49">
                  <w:rPr>
                    <w:rFonts w:ascii="MS Gothic" w:eastAsia="MS Gothic" w:hAnsi="MS Gothic" w:cs="MS Gothic" w:hint="eastAsia"/>
                    <w:szCs w:val="24"/>
                  </w:rPr>
                  <w:t>☐</w:t>
                </w:r>
              </w:sdtContent>
            </w:sdt>
            <w:r w:rsidR="00E94D45" w:rsidRPr="00404EE1">
              <w:t xml:space="preserve"> </w:t>
            </w:r>
            <w:r w:rsidR="00E94D45" w:rsidRPr="009845E0">
              <w:t>Candidate List</w:t>
            </w:r>
          </w:p>
        </w:tc>
      </w:tr>
      <w:tr w:rsidR="00E94D45" w:rsidRPr="00DC3C42" w14:paraId="4803C2BD" w14:textId="77777777" w:rsidTr="00155022">
        <w:trPr>
          <w:cantSplit/>
          <w:trHeight w:val="838"/>
        </w:trPr>
        <w:tc>
          <w:tcPr>
            <w:tcW w:w="1418" w:type="dxa"/>
            <w:vMerge/>
            <w:textDirection w:val="btLr"/>
            <w:vAlign w:val="center"/>
          </w:tcPr>
          <w:p w14:paraId="71D94469" w14:textId="77777777" w:rsidR="00E94D45" w:rsidRPr="00D06EB3" w:rsidRDefault="00E94D45" w:rsidP="00155022">
            <w:pPr>
              <w:pStyle w:val="BodyText"/>
              <w:spacing w:before="120" w:after="0"/>
              <w:ind w:left="113" w:right="113"/>
              <w:jc w:val="center"/>
            </w:pPr>
          </w:p>
        </w:tc>
        <w:tc>
          <w:tcPr>
            <w:tcW w:w="1134" w:type="dxa"/>
            <w:vMerge/>
            <w:textDirection w:val="btLr"/>
            <w:vAlign w:val="center"/>
          </w:tcPr>
          <w:p w14:paraId="37225DC4" w14:textId="77777777" w:rsidR="00E94D45" w:rsidRPr="00D06EB3" w:rsidRDefault="00E94D45" w:rsidP="00155022">
            <w:pPr>
              <w:pStyle w:val="BodyText"/>
              <w:spacing w:before="120" w:after="0"/>
              <w:ind w:left="113" w:right="113"/>
              <w:jc w:val="center"/>
            </w:pPr>
          </w:p>
        </w:tc>
        <w:tc>
          <w:tcPr>
            <w:tcW w:w="5812" w:type="dxa"/>
            <w:vAlign w:val="center"/>
          </w:tcPr>
          <w:p w14:paraId="3C73F827" w14:textId="77777777" w:rsidR="00E94D45" w:rsidRPr="00404EE1" w:rsidRDefault="00DA17E4" w:rsidP="00155022">
            <w:pPr>
              <w:pStyle w:val="BodyText"/>
              <w:spacing w:before="120" w:after="0"/>
            </w:pPr>
            <w:sdt>
              <w:sdtPr>
                <w:rPr>
                  <w:szCs w:val="24"/>
                </w:rPr>
                <w:id w:val="-305165667"/>
                <w14:checkbox>
                  <w14:checked w14:val="0"/>
                  <w14:checkedState w14:val="2612" w14:font="MS Gothic"/>
                  <w14:uncheckedState w14:val="2610" w14:font="MS Gothic"/>
                </w14:checkbox>
              </w:sdtPr>
              <w:sdtEndPr/>
              <w:sdtContent>
                <w:r w:rsidR="00E94D45" w:rsidRPr="005C7C49">
                  <w:rPr>
                    <w:rFonts w:ascii="MS Gothic" w:eastAsia="MS Gothic" w:hAnsi="MS Gothic" w:cs="MS Gothic" w:hint="eastAsia"/>
                    <w:szCs w:val="24"/>
                  </w:rPr>
                  <w:t>☐</w:t>
                </w:r>
              </w:sdtContent>
            </w:sdt>
            <w:r w:rsidR="00E94D45" w:rsidRPr="00404EE1">
              <w:t xml:space="preserve"> </w:t>
            </w:r>
            <w:r w:rsidR="00E94D45" w:rsidRPr="009845E0">
              <w:t xml:space="preserve">Annex XIV </w:t>
            </w:r>
          </w:p>
        </w:tc>
      </w:tr>
      <w:tr w:rsidR="00E94D45" w:rsidRPr="00DC3C42" w14:paraId="60016D89" w14:textId="77777777" w:rsidTr="00155022">
        <w:trPr>
          <w:cantSplit/>
          <w:trHeight w:val="896"/>
        </w:trPr>
        <w:tc>
          <w:tcPr>
            <w:tcW w:w="1418" w:type="dxa"/>
            <w:vMerge/>
            <w:textDirection w:val="btLr"/>
            <w:vAlign w:val="center"/>
          </w:tcPr>
          <w:p w14:paraId="5352ACF1" w14:textId="77777777" w:rsidR="00E94D45" w:rsidRPr="00D06EB3" w:rsidRDefault="00E94D45" w:rsidP="00155022">
            <w:pPr>
              <w:pStyle w:val="BodyText"/>
              <w:spacing w:before="120" w:after="0"/>
              <w:ind w:left="113" w:right="113"/>
              <w:jc w:val="center"/>
            </w:pPr>
          </w:p>
        </w:tc>
        <w:tc>
          <w:tcPr>
            <w:tcW w:w="1134" w:type="dxa"/>
            <w:tcBorders>
              <w:bottom w:val="single" w:sz="4" w:space="0" w:color="auto"/>
            </w:tcBorders>
            <w:textDirection w:val="btLr"/>
            <w:vAlign w:val="center"/>
          </w:tcPr>
          <w:p w14:paraId="25C1830D" w14:textId="77777777" w:rsidR="00E94D45" w:rsidRPr="00D06EB3" w:rsidRDefault="00E94D45" w:rsidP="00155022">
            <w:pPr>
              <w:pStyle w:val="BodyText"/>
              <w:spacing w:before="120" w:after="0"/>
              <w:ind w:left="113" w:right="113"/>
              <w:jc w:val="center"/>
            </w:pPr>
            <w:r w:rsidRPr="009845E0">
              <w:t>Restri</w:t>
            </w:r>
            <w:r>
              <w:t>-</w:t>
            </w:r>
            <w:r w:rsidRPr="009845E0">
              <w:t>ction</w:t>
            </w:r>
          </w:p>
        </w:tc>
        <w:tc>
          <w:tcPr>
            <w:tcW w:w="5812" w:type="dxa"/>
            <w:tcBorders>
              <w:bottom w:val="single" w:sz="4" w:space="0" w:color="auto"/>
            </w:tcBorders>
            <w:vAlign w:val="center"/>
          </w:tcPr>
          <w:p w14:paraId="0BCD59F9" w14:textId="77777777" w:rsidR="00E94D45" w:rsidRPr="00404EE1" w:rsidRDefault="00DA17E4" w:rsidP="00155022">
            <w:pPr>
              <w:pStyle w:val="BodyText"/>
              <w:spacing w:before="120" w:after="0"/>
            </w:pPr>
            <w:sdt>
              <w:sdtPr>
                <w:rPr>
                  <w:szCs w:val="24"/>
                </w:rPr>
                <w:id w:val="-1799371774"/>
                <w14:checkbox>
                  <w14:checked w14:val="0"/>
                  <w14:checkedState w14:val="2612" w14:font="MS Gothic"/>
                  <w14:uncheckedState w14:val="2610" w14:font="MS Gothic"/>
                </w14:checkbox>
              </w:sdtPr>
              <w:sdtEndPr/>
              <w:sdtContent>
                <w:r w:rsidR="00E94D45" w:rsidRPr="005C7C49">
                  <w:rPr>
                    <w:rFonts w:ascii="MS Gothic" w:eastAsia="MS Gothic" w:hAnsi="MS Gothic" w:cs="MS Gothic" w:hint="eastAsia"/>
                    <w:szCs w:val="24"/>
                  </w:rPr>
                  <w:t>☐</w:t>
                </w:r>
              </w:sdtContent>
            </w:sdt>
            <w:r w:rsidR="00E94D45" w:rsidRPr="00404EE1">
              <w:t xml:space="preserve"> </w:t>
            </w:r>
            <w:r w:rsidR="00E94D45" w:rsidRPr="00074765">
              <w:t>Annex XVII</w:t>
            </w:r>
          </w:p>
        </w:tc>
      </w:tr>
      <w:tr w:rsidR="00E94D45" w:rsidRPr="00DC3C42" w14:paraId="285D6D4B" w14:textId="77777777" w:rsidTr="00155022">
        <w:trPr>
          <w:cantSplit/>
          <w:trHeight w:val="1475"/>
        </w:trPr>
        <w:tc>
          <w:tcPr>
            <w:tcW w:w="1418" w:type="dxa"/>
            <w:textDirection w:val="btLr"/>
            <w:vAlign w:val="center"/>
          </w:tcPr>
          <w:p w14:paraId="31D416EF" w14:textId="77777777" w:rsidR="00E94D45" w:rsidRPr="00037AE8" w:rsidRDefault="00E94D45" w:rsidP="00155022">
            <w:pPr>
              <w:pStyle w:val="BodyText"/>
              <w:spacing w:before="120" w:after="0"/>
              <w:ind w:left="113" w:right="113"/>
              <w:jc w:val="center"/>
            </w:pPr>
            <w:r w:rsidRPr="00D06EB3">
              <w:t>Harmonised C&amp;L</w:t>
            </w:r>
            <w:r>
              <w:t xml:space="preserve"> </w:t>
            </w:r>
          </w:p>
        </w:tc>
        <w:tc>
          <w:tcPr>
            <w:tcW w:w="1134" w:type="dxa"/>
            <w:tcBorders>
              <w:right w:val="nil"/>
            </w:tcBorders>
            <w:textDirection w:val="btLr"/>
            <w:vAlign w:val="center"/>
          </w:tcPr>
          <w:p w14:paraId="30809376" w14:textId="77777777" w:rsidR="00E94D45" w:rsidRPr="00D06EB3" w:rsidRDefault="00E94D45" w:rsidP="00155022">
            <w:pPr>
              <w:pStyle w:val="BodyText"/>
              <w:spacing w:before="120" w:after="0"/>
              <w:ind w:left="113" w:right="113"/>
              <w:jc w:val="center"/>
            </w:pPr>
          </w:p>
        </w:tc>
        <w:tc>
          <w:tcPr>
            <w:tcW w:w="5812" w:type="dxa"/>
            <w:tcBorders>
              <w:left w:val="nil"/>
            </w:tcBorders>
            <w:vAlign w:val="center"/>
          </w:tcPr>
          <w:p w14:paraId="4FA5D807" w14:textId="77777777" w:rsidR="00E94D45" w:rsidRPr="00404EE1" w:rsidRDefault="00DA17E4" w:rsidP="00155022">
            <w:pPr>
              <w:pStyle w:val="BodyText"/>
              <w:spacing w:before="120" w:after="0"/>
            </w:pPr>
            <w:sdt>
              <w:sdtPr>
                <w:rPr>
                  <w:szCs w:val="24"/>
                </w:rPr>
                <w:id w:val="-1422323023"/>
                <w14:checkbox>
                  <w14:checked w14:val="0"/>
                  <w14:checkedState w14:val="2612" w14:font="MS Gothic"/>
                  <w14:uncheckedState w14:val="2610" w14:font="MS Gothic"/>
                </w14:checkbox>
              </w:sdtPr>
              <w:sdtEndPr/>
              <w:sdtContent>
                <w:r w:rsidR="00E94D45" w:rsidRPr="005C7C49">
                  <w:rPr>
                    <w:rFonts w:ascii="MS Gothic" w:eastAsia="MS Gothic" w:hAnsi="MS Gothic" w:cs="MS Gothic" w:hint="eastAsia"/>
                    <w:szCs w:val="24"/>
                  </w:rPr>
                  <w:t>☐</w:t>
                </w:r>
              </w:sdtContent>
            </w:sdt>
            <w:r w:rsidR="00E94D45" w:rsidRPr="00404EE1">
              <w:t xml:space="preserve"> Annex VI (CLP)</w:t>
            </w:r>
            <w:r w:rsidR="00E94D45">
              <w:t xml:space="preserve"> (see section 3.1)</w:t>
            </w:r>
          </w:p>
        </w:tc>
      </w:tr>
      <w:tr w:rsidR="00E94D45" w:rsidRPr="00DC3C42" w14:paraId="1D36501E" w14:textId="77777777" w:rsidTr="00155022">
        <w:trPr>
          <w:cantSplit/>
          <w:trHeight w:val="726"/>
        </w:trPr>
        <w:tc>
          <w:tcPr>
            <w:tcW w:w="1418" w:type="dxa"/>
            <w:vMerge w:val="restart"/>
            <w:textDirection w:val="btLr"/>
            <w:vAlign w:val="center"/>
          </w:tcPr>
          <w:p w14:paraId="2336AD8A" w14:textId="77777777" w:rsidR="00E94D45" w:rsidRPr="00037AE8" w:rsidRDefault="00E94D45" w:rsidP="00155022">
            <w:pPr>
              <w:pStyle w:val="BodyText"/>
              <w:spacing w:before="120" w:after="0"/>
              <w:ind w:left="113" w:right="113"/>
              <w:jc w:val="center"/>
            </w:pPr>
            <w:r w:rsidRPr="00361575">
              <w:t>Processes under other EU legislation</w:t>
            </w:r>
          </w:p>
        </w:tc>
        <w:tc>
          <w:tcPr>
            <w:tcW w:w="1134" w:type="dxa"/>
            <w:tcBorders>
              <w:right w:val="nil"/>
            </w:tcBorders>
            <w:textDirection w:val="btLr"/>
            <w:vAlign w:val="center"/>
          </w:tcPr>
          <w:p w14:paraId="03AC5211" w14:textId="77777777" w:rsidR="00E94D45" w:rsidRPr="00D06EB3" w:rsidRDefault="00E94D45" w:rsidP="00155022">
            <w:pPr>
              <w:pStyle w:val="BodyText"/>
              <w:spacing w:before="120" w:after="0"/>
              <w:ind w:left="113" w:right="113"/>
              <w:jc w:val="center"/>
            </w:pPr>
          </w:p>
        </w:tc>
        <w:tc>
          <w:tcPr>
            <w:tcW w:w="5812" w:type="dxa"/>
            <w:tcBorders>
              <w:left w:val="nil"/>
            </w:tcBorders>
            <w:vAlign w:val="center"/>
          </w:tcPr>
          <w:p w14:paraId="04D4FBDE" w14:textId="77777777" w:rsidR="00E94D45" w:rsidRDefault="00DA17E4" w:rsidP="00155022">
            <w:pPr>
              <w:pStyle w:val="BodyText"/>
              <w:spacing w:before="120" w:after="0"/>
              <w:ind w:left="459" w:hanging="459"/>
            </w:pPr>
            <w:sdt>
              <w:sdtPr>
                <w:rPr>
                  <w:szCs w:val="24"/>
                </w:rPr>
                <w:id w:val="2114626067"/>
                <w14:checkbox>
                  <w14:checked w14:val="0"/>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9940A8">
              <w:t xml:space="preserve"> </w:t>
            </w:r>
            <w:r w:rsidR="00E94D45" w:rsidRPr="00404EE1">
              <w:t>Plant Protection Products Regulation</w:t>
            </w:r>
            <w:r w:rsidR="00E94D45">
              <w:t xml:space="preserve"> </w:t>
            </w:r>
          </w:p>
          <w:p w14:paraId="79CF3522" w14:textId="77777777" w:rsidR="00E94D45" w:rsidRPr="009940A8" w:rsidRDefault="00E94D45" w:rsidP="00155022">
            <w:pPr>
              <w:pStyle w:val="BodyText"/>
              <w:spacing w:before="120" w:after="0"/>
              <w:ind w:left="317"/>
            </w:pPr>
            <w:r>
              <w:t>Regulation</w:t>
            </w:r>
            <w:r w:rsidRPr="00404EE1">
              <w:t xml:space="preserve"> </w:t>
            </w:r>
            <w:r>
              <w:t xml:space="preserve">(EC) No 1107/2009 </w:t>
            </w:r>
          </w:p>
        </w:tc>
      </w:tr>
      <w:tr w:rsidR="00E94D45" w:rsidRPr="00037AE8" w14:paraId="23410EA0" w14:textId="77777777" w:rsidTr="00155022">
        <w:trPr>
          <w:cantSplit/>
          <w:trHeight w:val="694"/>
        </w:trPr>
        <w:tc>
          <w:tcPr>
            <w:tcW w:w="1418" w:type="dxa"/>
            <w:vMerge/>
            <w:textDirection w:val="btLr"/>
            <w:vAlign w:val="center"/>
          </w:tcPr>
          <w:p w14:paraId="47AC3EA1" w14:textId="77777777" w:rsidR="00E94D45" w:rsidRPr="00831D14" w:rsidRDefault="00E94D45" w:rsidP="00155022">
            <w:pPr>
              <w:pStyle w:val="BodyText"/>
              <w:spacing w:before="120" w:after="0"/>
              <w:ind w:left="113" w:right="113"/>
              <w:jc w:val="center"/>
            </w:pPr>
          </w:p>
        </w:tc>
        <w:tc>
          <w:tcPr>
            <w:tcW w:w="1134" w:type="dxa"/>
            <w:tcBorders>
              <w:right w:val="nil"/>
            </w:tcBorders>
            <w:textDirection w:val="btLr"/>
            <w:vAlign w:val="center"/>
          </w:tcPr>
          <w:p w14:paraId="35EB7504" w14:textId="77777777" w:rsidR="00E94D45" w:rsidRPr="001F1FCC" w:rsidRDefault="00E94D45" w:rsidP="00155022">
            <w:pPr>
              <w:pStyle w:val="BodyText"/>
              <w:spacing w:before="120" w:after="0"/>
              <w:ind w:left="113" w:right="113"/>
              <w:jc w:val="center"/>
            </w:pPr>
          </w:p>
        </w:tc>
        <w:tc>
          <w:tcPr>
            <w:tcW w:w="5812" w:type="dxa"/>
            <w:tcBorders>
              <w:left w:val="nil"/>
            </w:tcBorders>
            <w:vAlign w:val="center"/>
          </w:tcPr>
          <w:p w14:paraId="24F4DBB8" w14:textId="77777777" w:rsidR="00E94D45" w:rsidRDefault="00DA17E4" w:rsidP="00155022">
            <w:pPr>
              <w:pStyle w:val="BodyText"/>
              <w:spacing w:before="120" w:after="0"/>
              <w:ind w:left="317" w:hanging="317"/>
            </w:pPr>
            <w:sdt>
              <w:sdtPr>
                <w:rPr>
                  <w:szCs w:val="24"/>
                </w:rPr>
                <w:id w:val="1651639555"/>
                <w14:checkbox>
                  <w14:checked w14:val="0"/>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404EE1">
              <w:t xml:space="preserve"> Biocidal Product Regulation</w:t>
            </w:r>
          </w:p>
          <w:p w14:paraId="609DDD56" w14:textId="77777777" w:rsidR="00E94D45" w:rsidRPr="00404EE1" w:rsidRDefault="00E94D45" w:rsidP="00155022">
            <w:pPr>
              <w:pStyle w:val="BodyText"/>
              <w:spacing w:before="120" w:after="0"/>
              <w:ind w:left="317"/>
            </w:pPr>
            <w:r>
              <w:t>Regulation</w:t>
            </w:r>
            <w:r w:rsidRPr="00404EE1">
              <w:t xml:space="preserve"> (EU) 528/2012</w:t>
            </w:r>
            <w:r>
              <w:t xml:space="preserve"> and amendments</w:t>
            </w:r>
            <w:r w:rsidRPr="00404EE1">
              <w:t xml:space="preserve"> </w:t>
            </w:r>
            <w:r>
              <w:t xml:space="preserve"> </w:t>
            </w:r>
          </w:p>
        </w:tc>
      </w:tr>
      <w:tr w:rsidR="00E94D45" w:rsidRPr="00853DDE" w14:paraId="75D5CDC7" w14:textId="77777777" w:rsidTr="00155022">
        <w:trPr>
          <w:cantSplit/>
          <w:trHeight w:val="704"/>
        </w:trPr>
        <w:tc>
          <w:tcPr>
            <w:tcW w:w="1418" w:type="dxa"/>
            <w:vMerge w:val="restart"/>
            <w:textDirection w:val="btLr"/>
            <w:vAlign w:val="center"/>
          </w:tcPr>
          <w:p w14:paraId="11DAD690" w14:textId="77777777" w:rsidR="00E94D45" w:rsidRPr="003E5AC2" w:rsidRDefault="00E94D45" w:rsidP="00155022">
            <w:pPr>
              <w:pStyle w:val="BodyText"/>
              <w:spacing w:before="120" w:after="0"/>
              <w:ind w:left="113" w:right="113"/>
              <w:jc w:val="center"/>
            </w:pPr>
            <w:r>
              <w:t>Previous legislation</w:t>
            </w:r>
          </w:p>
        </w:tc>
        <w:tc>
          <w:tcPr>
            <w:tcW w:w="1134" w:type="dxa"/>
            <w:tcBorders>
              <w:right w:val="nil"/>
            </w:tcBorders>
            <w:textDirection w:val="btLr"/>
            <w:vAlign w:val="center"/>
          </w:tcPr>
          <w:p w14:paraId="1365FBE7" w14:textId="77777777" w:rsidR="00E94D45" w:rsidRPr="003E5AC2" w:rsidRDefault="00E94D45" w:rsidP="00155022">
            <w:pPr>
              <w:pStyle w:val="BodyText"/>
              <w:spacing w:before="120" w:after="0"/>
              <w:ind w:left="113" w:right="113"/>
              <w:jc w:val="center"/>
            </w:pPr>
          </w:p>
        </w:tc>
        <w:tc>
          <w:tcPr>
            <w:tcW w:w="5812" w:type="dxa"/>
            <w:tcBorders>
              <w:left w:val="nil"/>
            </w:tcBorders>
            <w:vAlign w:val="center"/>
          </w:tcPr>
          <w:p w14:paraId="4A7D7920" w14:textId="77777777" w:rsidR="00E94D45" w:rsidRDefault="00DA17E4" w:rsidP="00155022">
            <w:pPr>
              <w:pStyle w:val="BodyText"/>
              <w:spacing w:before="120" w:after="0"/>
              <w:ind w:left="317" w:hanging="317"/>
              <w:rPr>
                <w:lang w:val="fr-FR"/>
              </w:rPr>
            </w:pPr>
            <w:sdt>
              <w:sdtPr>
                <w:rPr>
                  <w:szCs w:val="24"/>
                  <w:lang w:val="fr-BE"/>
                </w:rPr>
                <w:id w:val="2022975554"/>
                <w14:checkbox>
                  <w14:checked w14:val="0"/>
                  <w14:checkedState w14:val="2612" w14:font="MS Gothic"/>
                  <w14:uncheckedState w14:val="2610" w14:font="MS Gothic"/>
                </w14:checkbox>
              </w:sdtPr>
              <w:sdtEndPr/>
              <w:sdtContent>
                <w:r w:rsidR="00E94D45" w:rsidRPr="006513B1">
                  <w:rPr>
                    <w:rFonts w:ascii="MS Gothic" w:eastAsia="MS Gothic" w:hAnsi="MS Gothic" w:hint="eastAsia"/>
                    <w:szCs w:val="24"/>
                    <w:lang w:val="fr-BE"/>
                  </w:rPr>
                  <w:t>☐</w:t>
                </w:r>
              </w:sdtContent>
            </w:sdt>
            <w:r w:rsidR="00E94D45" w:rsidRPr="0048058C">
              <w:rPr>
                <w:lang w:val="fr-BE"/>
              </w:rPr>
              <w:t xml:space="preserve"> </w:t>
            </w:r>
            <w:r w:rsidR="00E94D45" w:rsidRPr="006C0A2C">
              <w:rPr>
                <w:lang w:val="fr-FR"/>
              </w:rPr>
              <w:t>Dangerous substances Directive</w:t>
            </w:r>
          </w:p>
          <w:p w14:paraId="4A9CA0E8" w14:textId="77777777" w:rsidR="00E94D45" w:rsidRPr="0048058C" w:rsidRDefault="00E94D45" w:rsidP="00155022">
            <w:pPr>
              <w:pStyle w:val="BodyText"/>
              <w:spacing w:before="120" w:after="0"/>
              <w:ind w:left="317"/>
              <w:rPr>
                <w:lang w:val="fr-BE"/>
              </w:rPr>
            </w:pPr>
            <w:r>
              <w:rPr>
                <w:lang w:val="fr-FR"/>
              </w:rPr>
              <w:t xml:space="preserve"> Directive</w:t>
            </w:r>
            <w:r w:rsidRPr="006C0A2C">
              <w:rPr>
                <w:lang w:val="fr-FR"/>
              </w:rPr>
              <w:t xml:space="preserve"> 67/548/EEC (NONS)</w:t>
            </w:r>
          </w:p>
        </w:tc>
      </w:tr>
      <w:tr w:rsidR="00E94D45" w:rsidRPr="00037AE8" w14:paraId="22B6AB6E" w14:textId="77777777" w:rsidTr="00155022">
        <w:trPr>
          <w:cantSplit/>
          <w:trHeight w:val="646"/>
        </w:trPr>
        <w:tc>
          <w:tcPr>
            <w:tcW w:w="1418" w:type="dxa"/>
            <w:vMerge/>
            <w:textDirection w:val="btLr"/>
            <w:vAlign w:val="center"/>
          </w:tcPr>
          <w:p w14:paraId="264441E8" w14:textId="77777777" w:rsidR="00E94D45" w:rsidRPr="0048058C" w:rsidRDefault="00E94D45" w:rsidP="00155022">
            <w:pPr>
              <w:pStyle w:val="BodyText"/>
              <w:spacing w:before="120" w:after="0"/>
              <w:ind w:left="113" w:right="113"/>
              <w:jc w:val="center"/>
              <w:rPr>
                <w:lang w:val="fr-BE"/>
              </w:rPr>
            </w:pPr>
          </w:p>
        </w:tc>
        <w:tc>
          <w:tcPr>
            <w:tcW w:w="1134" w:type="dxa"/>
            <w:tcBorders>
              <w:right w:val="nil"/>
            </w:tcBorders>
            <w:textDirection w:val="btLr"/>
            <w:vAlign w:val="center"/>
          </w:tcPr>
          <w:p w14:paraId="23A12970" w14:textId="77777777" w:rsidR="00E94D45" w:rsidRPr="0048058C" w:rsidRDefault="00E94D45" w:rsidP="00155022">
            <w:pPr>
              <w:pStyle w:val="BodyText"/>
              <w:spacing w:before="120" w:after="0"/>
              <w:ind w:left="113" w:right="113"/>
              <w:jc w:val="center"/>
              <w:rPr>
                <w:lang w:val="fr-BE"/>
              </w:rPr>
            </w:pPr>
          </w:p>
        </w:tc>
        <w:tc>
          <w:tcPr>
            <w:tcW w:w="5812" w:type="dxa"/>
            <w:tcBorders>
              <w:left w:val="nil"/>
            </w:tcBorders>
            <w:vAlign w:val="center"/>
          </w:tcPr>
          <w:p w14:paraId="78BF8474" w14:textId="77777777" w:rsidR="00E94D45" w:rsidRDefault="00DA17E4" w:rsidP="00155022">
            <w:pPr>
              <w:pStyle w:val="BodyText"/>
              <w:spacing w:before="120" w:after="0"/>
              <w:ind w:left="317" w:hanging="317"/>
            </w:pPr>
            <w:sdt>
              <w:sdtPr>
                <w:rPr>
                  <w:szCs w:val="24"/>
                </w:rPr>
                <w:id w:val="983901159"/>
                <w14:checkbox>
                  <w14:checked w14:val="0"/>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404EE1">
              <w:t xml:space="preserve"> Existing Substances Regulation</w:t>
            </w:r>
          </w:p>
          <w:p w14:paraId="66493D04" w14:textId="77777777" w:rsidR="00E94D45" w:rsidRPr="00404EE1" w:rsidRDefault="00E94D45" w:rsidP="00155022">
            <w:pPr>
              <w:pStyle w:val="BodyText"/>
              <w:spacing w:before="120" w:after="0"/>
              <w:ind w:left="317"/>
            </w:pPr>
            <w:r>
              <w:t xml:space="preserve"> Regulation</w:t>
            </w:r>
            <w:r w:rsidRPr="00404EE1">
              <w:t xml:space="preserve"> 793/93/EEC</w:t>
            </w:r>
            <w:r>
              <w:t xml:space="preserve"> (RAR/RRS)</w:t>
            </w:r>
          </w:p>
        </w:tc>
      </w:tr>
      <w:tr w:rsidR="00E94D45" w:rsidRPr="00037AE8" w14:paraId="6216059D" w14:textId="77777777" w:rsidTr="00155022">
        <w:trPr>
          <w:cantSplit/>
          <w:trHeight w:val="1000"/>
        </w:trPr>
        <w:tc>
          <w:tcPr>
            <w:tcW w:w="1418" w:type="dxa"/>
            <w:vMerge w:val="restart"/>
            <w:textDirection w:val="btLr"/>
            <w:vAlign w:val="center"/>
          </w:tcPr>
          <w:p w14:paraId="54DB60CB" w14:textId="77777777" w:rsidR="00E94D45" w:rsidRPr="00C220E5" w:rsidRDefault="00E94D45" w:rsidP="00155022">
            <w:pPr>
              <w:pStyle w:val="BodyText"/>
              <w:spacing w:before="120" w:after="0"/>
              <w:ind w:left="113" w:right="113"/>
              <w:jc w:val="center"/>
            </w:pPr>
            <w:r w:rsidRPr="00C220E5">
              <w:t>(UNEP) Stockholm convention (POPs Protocol)</w:t>
            </w:r>
          </w:p>
        </w:tc>
        <w:tc>
          <w:tcPr>
            <w:tcW w:w="1134" w:type="dxa"/>
            <w:tcBorders>
              <w:right w:val="nil"/>
            </w:tcBorders>
            <w:textDirection w:val="btLr"/>
            <w:vAlign w:val="center"/>
          </w:tcPr>
          <w:p w14:paraId="7F1D30AC" w14:textId="77777777" w:rsidR="00E94D45" w:rsidRPr="00C220E5" w:rsidRDefault="00E94D45" w:rsidP="00155022">
            <w:pPr>
              <w:pStyle w:val="BodyText"/>
              <w:spacing w:before="120" w:after="0"/>
              <w:ind w:left="113" w:right="113"/>
              <w:jc w:val="center"/>
            </w:pPr>
          </w:p>
        </w:tc>
        <w:tc>
          <w:tcPr>
            <w:tcW w:w="5812" w:type="dxa"/>
            <w:tcBorders>
              <w:left w:val="nil"/>
            </w:tcBorders>
            <w:vAlign w:val="center"/>
          </w:tcPr>
          <w:p w14:paraId="1DE12A07" w14:textId="77777777" w:rsidR="00E94D45" w:rsidRPr="00404EE1" w:rsidRDefault="00DA17E4" w:rsidP="00155022">
            <w:pPr>
              <w:pStyle w:val="BodyText"/>
              <w:spacing w:before="120" w:after="0"/>
            </w:pPr>
            <w:sdt>
              <w:sdtPr>
                <w:rPr>
                  <w:szCs w:val="24"/>
                </w:rPr>
                <w:id w:val="1125200805"/>
                <w14:checkbox>
                  <w14:checked w14:val="0"/>
                  <w14:checkedState w14:val="2612" w14:font="MS Gothic"/>
                  <w14:uncheckedState w14:val="2610" w14:font="MS Gothic"/>
                </w14:checkbox>
              </w:sdtPr>
              <w:sdtEndPr/>
              <w:sdtContent>
                <w:r w:rsidR="00E94D45" w:rsidRPr="005C7C49">
                  <w:rPr>
                    <w:rFonts w:ascii="MS Gothic" w:eastAsia="MS Gothic" w:hAnsi="MS Gothic" w:cs="MS Gothic" w:hint="eastAsia"/>
                    <w:szCs w:val="24"/>
                  </w:rPr>
                  <w:t>☐</w:t>
                </w:r>
              </w:sdtContent>
            </w:sdt>
            <w:r w:rsidR="00E94D45" w:rsidRPr="00404EE1">
              <w:t xml:space="preserve"> </w:t>
            </w:r>
            <w:r w:rsidR="00E94D45">
              <w:t>Assessment</w:t>
            </w:r>
          </w:p>
        </w:tc>
      </w:tr>
      <w:tr w:rsidR="00E94D45" w:rsidRPr="00037AE8" w14:paraId="08647080" w14:textId="77777777" w:rsidTr="00155022">
        <w:trPr>
          <w:cantSplit/>
          <w:trHeight w:val="692"/>
        </w:trPr>
        <w:tc>
          <w:tcPr>
            <w:tcW w:w="1418" w:type="dxa"/>
            <w:vMerge/>
            <w:textDirection w:val="btLr"/>
            <w:vAlign w:val="center"/>
          </w:tcPr>
          <w:p w14:paraId="01E24549" w14:textId="77777777" w:rsidR="00E94D45" w:rsidRPr="0048058C" w:rsidRDefault="00E94D45" w:rsidP="00155022">
            <w:pPr>
              <w:pStyle w:val="BodyText"/>
              <w:spacing w:before="120" w:after="0"/>
              <w:ind w:left="113" w:right="113"/>
              <w:jc w:val="center"/>
            </w:pPr>
          </w:p>
        </w:tc>
        <w:tc>
          <w:tcPr>
            <w:tcW w:w="1134" w:type="dxa"/>
            <w:tcBorders>
              <w:right w:val="nil"/>
            </w:tcBorders>
            <w:textDirection w:val="btLr"/>
            <w:vAlign w:val="center"/>
          </w:tcPr>
          <w:p w14:paraId="6088AE8D" w14:textId="77777777" w:rsidR="00E94D45" w:rsidRPr="0048058C" w:rsidRDefault="00E94D45" w:rsidP="00155022">
            <w:pPr>
              <w:pStyle w:val="BodyText"/>
              <w:spacing w:before="120"/>
              <w:ind w:left="113" w:right="113"/>
              <w:jc w:val="center"/>
            </w:pPr>
          </w:p>
        </w:tc>
        <w:tc>
          <w:tcPr>
            <w:tcW w:w="5812" w:type="dxa"/>
            <w:tcBorders>
              <w:left w:val="nil"/>
            </w:tcBorders>
            <w:vAlign w:val="center"/>
          </w:tcPr>
          <w:p w14:paraId="769D376E" w14:textId="77777777" w:rsidR="00E94D45" w:rsidRPr="00404EE1" w:rsidRDefault="00DA17E4" w:rsidP="00155022">
            <w:pPr>
              <w:pStyle w:val="BodyText"/>
              <w:spacing w:before="120"/>
            </w:pPr>
            <w:sdt>
              <w:sdtPr>
                <w:rPr>
                  <w:szCs w:val="24"/>
                </w:rPr>
                <w:id w:val="689656449"/>
                <w14:checkbox>
                  <w14:checked w14:val="0"/>
                  <w14:checkedState w14:val="2612" w14:font="MS Gothic"/>
                  <w14:uncheckedState w14:val="2610" w14:font="MS Gothic"/>
                </w14:checkbox>
              </w:sdtPr>
              <w:sdtEndPr/>
              <w:sdtContent>
                <w:r w:rsidR="00E94D45">
                  <w:rPr>
                    <w:rFonts w:ascii="MS Gothic" w:eastAsia="MS Gothic" w:hAnsi="MS Gothic" w:hint="eastAsia"/>
                    <w:szCs w:val="24"/>
                  </w:rPr>
                  <w:t>☐</w:t>
                </w:r>
              </w:sdtContent>
            </w:sdt>
            <w:r w:rsidR="00E94D45" w:rsidRPr="00404EE1">
              <w:t xml:space="preserve"> </w:t>
            </w:r>
            <w:r w:rsidR="00E94D45">
              <w:t xml:space="preserve">In relevant Annex </w:t>
            </w:r>
          </w:p>
        </w:tc>
      </w:tr>
      <w:tr w:rsidR="00E94D45" w:rsidRPr="00037AE8" w14:paraId="3637D644" w14:textId="77777777" w:rsidTr="00155022">
        <w:trPr>
          <w:cantSplit/>
          <w:trHeight w:val="1431"/>
        </w:trPr>
        <w:tc>
          <w:tcPr>
            <w:tcW w:w="1418" w:type="dxa"/>
            <w:textDirection w:val="btLr"/>
            <w:vAlign w:val="center"/>
          </w:tcPr>
          <w:p w14:paraId="103C8398" w14:textId="77777777" w:rsidR="00E94D45" w:rsidRPr="0048058C" w:rsidRDefault="00E94D45" w:rsidP="00155022">
            <w:pPr>
              <w:pStyle w:val="BodyText"/>
              <w:spacing w:before="120" w:after="0"/>
              <w:ind w:left="113" w:right="113"/>
              <w:jc w:val="center"/>
            </w:pPr>
            <w:r>
              <w:t>Other processes/ EU legislation</w:t>
            </w:r>
          </w:p>
        </w:tc>
        <w:tc>
          <w:tcPr>
            <w:tcW w:w="1134" w:type="dxa"/>
            <w:tcBorders>
              <w:right w:val="nil"/>
            </w:tcBorders>
            <w:textDirection w:val="btLr"/>
            <w:vAlign w:val="center"/>
          </w:tcPr>
          <w:p w14:paraId="7C910E52" w14:textId="77777777" w:rsidR="00E94D45" w:rsidRPr="0048058C" w:rsidRDefault="00E94D45" w:rsidP="00155022">
            <w:pPr>
              <w:pStyle w:val="BodyText"/>
              <w:spacing w:before="120"/>
              <w:ind w:left="113" w:right="113"/>
              <w:jc w:val="center"/>
            </w:pPr>
          </w:p>
        </w:tc>
        <w:tc>
          <w:tcPr>
            <w:tcW w:w="5812" w:type="dxa"/>
            <w:tcBorders>
              <w:left w:val="nil"/>
            </w:tcBorders>
            <w:vAlign w:val="center"/>
          </w:tcPr>
          <w:p w14:paraId="63DF5127" w14:textId="77777777" w:rsidR="00E94D45" w:rsidRDefault="00DA17E4" w:rsidP="00155022">
            <w:pPr>
              <w:pStyle w:val="BodyText"/>
              <w:spacing w:before="120"/>
            </w:pPr>
            <w:sdt>
              <w:sdtPr>
                <w:rPr>
                  <w:szCs w:val="24"/>
                </w:rPr>
                <w:id w:val="-1936583114"/>
                <w14:checkbox>
                  <w14:checked w14:val="1"/>
                  <w14:checkedState w14:val="2612" w14:font="MS Gothic"/>
                  <w14:uncheckedState w14:val="2610" w14:font="MS Gothic"/>
                </w14:checkbox>
              </w:sdtPr>
              <w:sdtEndPr/>
              <w:sdtContent>
                <w:r w:rsidR="00E94D45">
                  <w:rPr>
                    <w:rFonts w:ascii="MS Gothic" w:eastAsia="MS Gothic" w:hAnsi="MS Gothic" w:cs="MS Gothic" w:hint="eastAsia"/>
                    <w:szCs w:val="24"/>
                  </w:rPr>
                  <w:t>☒</w:t>
                </w:r>
              </w:sdtContent>
            </w:sdt>
            <w:r w:rsidR="00E94D45" w:rsidRPr="00404EE1">
              <w:t xml:space="preserve"> </w:t>
            </w:r>
            <w:r w:rsidR="00E94D45" w:rsidRPr="001D1FDB">
              <w:t>Other</w:t>
            </w:r>
            <w:r w:rsidR="00E94D45">
              <w:t xml:space="preserve"> </w:t>
            </w:r>
            <w:r w:rsidR="00E94D45" w:rsidRPr="001D1FDB">
              <w:t>(provide further details below)</w:t>
            </w:r>
          </w:p>
          <w:p w14:paraId="21D652EB" w14:textId="31540C2C" w:rsidR="00E94D45" w:rsidRPr="00404EE1" w:rsidRDefault="00E94D45" w:rsidP="00E627AA">
            <w:pPr>
              <w:pStyle w:val="BodyText"/>
              <w:widowControl/>
              <w:numPr>
                <w:ilvl w:val="0"/>
                <w:numId w:val="15"/>
              </w:numPr>
              <w:spacing w:before="120"/>
              <w:jc w:val="both"/>
            </w:pPr>
            <w:r w:rsidRPr="00E627AA">
              <w:t>Food Contact Material - Regulation (Commission Regulation (EU) No 10/2011 of 14 January 2011 on plastic materials and articles intended to come into contact with</w:t>
            </w:r>
            <w:r w:rsidRPr="005C3A1D">
              <w:t xml:space="preserve"> food): BCPS is listed in the Union list. The specific migration limit (SML) is 0.05 mg/kg. FCM substance No. 152, </w:t>
            </w:r>
            <w:r w:rsidRPr="005C3A1D">
              <w:br/>
              <w:t xml:space="preserve">Ref. No. 15610. </w:t>
            </w:r>
          </w:p>
        </w:tc>
      </w:tr>
    </w:tbl>
    <w:p w14:paraId="1723C0D4" w14:textId="77777777" w:rsidR="00E94D45" w:rsidRPr="003266B3" w:rsidRDefault="00E94D45" w:rsidP="00E94D45">
      <w:pPr>
        <w:pStyle w:val="BodyText"/>
        <w:rPr>
          <w:lang w:val="en-US"/>
        </w:rPr>
      </w:pPr>
    </w:p>
    <w:p w14:paraId="6CB3B6BD" w14:textId="5B4565C5" w:rsidR="00E94D45" w:rsidRPr="00161596" w:rsidRDefault="00E94D45" w:rsidP="00E94D45">
      <w:pPr>
        <w:pStyle w:val="BodyText"/>
        <w:spacing w:before="120"/>
        <w:rPr>
          <w:b/>
        </w:rPr>
      </w:pPr>
      <w:r w:rsidRPr="00161596">
        <w:rPr>
          <w:b/>
        </w:rPr>
        <w:t xml:space="preserve">National </w:t>
      </w:r>
      <w:r w:rsidR="00E627AA">
        <w:rPr>
          <w:b/>
        </w:rPr>
        <w:t>legislation or r</w:t>
      </w:r>
      <w:r w:rsidRPr="00161596">
        <w:rPr>
          <w:b/>
        </w:rPr>
        <w:t>ecommendation</w:t>
      </w:r>
      <w:r>
        <w:rPr>
          <w:b/>
        </w:rPr>
        <w:t>s</w:t>
      </w:r>
    </w:p>
    <w:p w14:paraId="44D49844" w14:textId="70C3E3A3" w:rsidR="00E627AA" w:rsidRDefault="00E627AA" w:rsidP="00E94D45">
      <w:pPr>
        <w:pStyle w:val="HTMLPreformatted"/>
        <w:jc w:val="both"/>
        <w:rPr>
          <w:rFonts w:ascii="Verdana" w:hAnsi="Verdana"/>
          <w:lang w:val="en-GB"/>
        </w:rPr>
      </w:pPr>
      <w:r w:rsidRPr="00E627AA">
        <w:rPr>
          <w:rFonts w:ascii="Verdana" w:hAnsi="Verdana"/>
          <w:b/>
          <w:lang w:val="en-GB"/>
        </w:rPr>
        <w:t>Belgium:</w:t>
      </w:r>
      <w:r>
        <w:rPr>
          <w:lang w:val="en-US"/>
        </w:rPr>
        <w:t xml:space="preserve"> </w:t>
      </w:r>
      <w:r w:rsidR="00AF7B6D" w:rsidRPr="00AF7B6D">
        <w:rPr>
          <w:rFonts w:ascii="Verdana" w:hAnsi="Verdana"/>
          <w:lang w:val="en-GB"/>
        </w:rPr>
        <w:t xml:space="preserve">Included in </w:t>
      </w:r>
      <w:r w:rsidR="00AF7B6D">
        <w:rPr>
          <w:rFonts w:ascii="Verdana" w:hAnsi="Verdana"/>
          <w:lang w:val="en-GB"/>
        </w:rPr>
        <w:t>Belgian</w:t>
      </w:r>
      <w:r w:rsidR="00AF7B6D" w:rsidRPr="00AF7B6D">
        <w:rPr>
          <w:rFonts w:ascii="Verdana" w:hAnsi="Verdana"/>
          <w:lang w:val="en-GB"/>
        </w:rPr>
        <w:t xml:space="preserve"> p</w:t>
      </w:r>
      <w:r w:rsidR="00AF7B6D">
        <w:rPr>
          <w:rFonts w:ascii="Verdana" w:hAnsi="Verdana"/>
          <w:lang w:val="en-GB"/>
        </w:rPr>
        <w:t>ositive</w:t>
      </w:r>
      <w:r w:rsidR="00AF7B6D" w:rsidRPr="00E627AA">
        <w:rPr>
          <w:rFonts w:ascii="Verdana" w:hAnsi="Verdana"/>
          <w:vertAlign w:val="superscript"/>
          <w:lang w:val="en-GB"/>
        </w:rPr>
        <w:t xml:space="preserve"> </w:t>
      </w:r>
      <w:r w:rsidRPr="00E627AA">
        <w:rPr>
          <w:rFonts w:ascii="Verdana" w:hAnsi="Verdana"/>
          <w:vertAlign w:val="superscript"/>
          <w:lang w:val="en-GB"/>
        </w:rPr>
        <w:footnoteReference w:id="6"/>
      </w:r>
      <w:r w:rsidRPr="00E627AA">
        <w:rPr>
          <w:rFonts w:ascii="Verdana" w:hAnsi="Verdana"/>
          <w:lang w:val="en-GB"/>
        </w:rPr>
        <w:t xml:space="preserve"> list </w:t>
      </w:r>
      <w:r w:rsidR="00A25BED">
        <w:rPr>
          <w:rFonts w:ascii="Verdana" w:hAnsi="Verdana"/>
          <w:lang w:val="en-GB"/>
        </w:rPr>
        <w:t xml:space="preserve">for the acceptance </w:t>
      </w:r>
      <w:r w:rsidRPr="00E627AA">
        <w:rPr>
          <w:rFonts w:ascii="Verdana" w:hAnsi="Verdana"/>
          <w:lang w:val="en-GB"/>
        </w:rPr>
        <w:t xml:space="preserve">of </w:t>
      </w:r>
      <w:r w:rsidR="00AF7B6D" w:rsidRPr="00AF7B6D">
        <w:rPr>
          <w:rFonts w:ascii="Verdana" w:hAnsi="Verdana"/>
          <w:lang w:val="en-GB"/>
        </w:rPr>
        <w:t>materials in contact with drinking water and water intended for the production of drinking Water</w:t>
      </w:r>
      <w:r w:rsidR="00AF7B6D">
        <w:rPr>
          <w:rFonts w:ascii="Verdana" w:hAnsi="Verdana"/>
          <w:lang w:val="en-GB"/>
        </w:rPr>
        <w:t xml:space="preserve">. </w:t>
      </w:r>
      <w:r w:rsidRPr="00A25BED">
        <w:rPr>
          <w:rFonts w:ascii="Verdana" w:hAnsi="Verdana"/>
          <w:lang w:val="en-GB"/>
        </w:rPr>
        <w:t>Maximum tolerable concentration in drinking water: 2,5 µg/l.</w:t>
      </w:r>
    </w:p>
    <w:p w14:paraId="38E6BD65" w14:textId="77777777" w:rsidR="00E627AA" w:rsidRDefault="00E627AA" w:rsidP="00E94D45">
      <w:pPr>
        <w:pStyle w:val="HTMLPreformatted"/>
        <w:jc w:val="both"/>
        <w:rPr>
          <w:rFonts w:ascii="Verdana" w:hAnsi="Verdana"/>
          <w:b/>
          <w:lang w:val="en-GB"/>
        </w:rPr>
      </w:pPr>
    </w:p>
    <w:p w14:paraId="683539CB" w14:textId="34D2BDF5" w:rsidR="00E86372" w:rsidRPr="00E627AA" w:rsidRDefault="00E94D45" w:rsidP="00E627AA">
      <w:pPr>
        <w:pStyle w:val="HTMLPreformatted"/>
        <w:jc w:val="both"/>
        <w:rPr>
          <w:rFonts w:ascii="Verdana" w:hAnsi="Verdana" w:cstheme="minorBidi"/>
          <w:lang w:val="en-US" w:eastAsia="fr-FR"/>
        </w:rPr>
      </w:pPr>
      <w:r w:rsidRPr="00161596">
        <w:rPr>
          <w:rFonts w:ascii="Verdana" w:hAnsi="Verdana"/>
          <w:b/>
          <w:lang w:val="en-GB"/>
        </w:rPr>
        <w:t>Germany:</w:t>
      </w:r>
      <w:r w:rsidRPr="00161596">
        <w:rPr>
          <w:rFonts w:ascii="Verdana" w:hAnsi="Verdana"/>
          <w:lang w:val="en-GB"/>
        </w:rPr>
        <w:t xml:space="preserve"> The substance is included in the recommendation</w:t>
      </w:r>
      <w:r>
        <w:rPr>
          <w:rFonts w:ascii="Verdana" w:hAnsi="Verdana"/>
          <w:lang w:val="en-GB"/>
        </w:rPr>
        <w:t xml:space="preserve"> by the German </w:t>
      </w:r>
      <w:r w:rsidRPr="0073457D">
        <w:rPr>
          <w:rFonts w:ascii="Verdana" w:hAnsi="Verdana"/>
          <w:lang w:val="en-GB"/>
        </w:rPr>
        <w:t>Bundesinstitut für Risikobewertung</w:t>
      </w:r>
      <w:r>
        <w:rPr>
          <w:rFonts w:ascii="Verdana" w:hAnsi="Verdana"/>
          <w:lang w:val="en-GB"/>
        </w:rPr>
        <w:t xml:space="preserve"> (BfR)</w:t>
      </w:r>
      <w:r w:rsidRPr="00161596">
        <w:rPr>
          <w:rFonts w:ascii="Verdana" w:hAnsi="Verdana"/>
          <w:vertAlign w:val="superscript"/>
          <w:lang w:val="en-GB"/>
        </w:rPr>
        <w:footnoteReference w:id="7"/>
      </w:r>
      <w:r>
        <w:rPr>
          <w:rFonts w:ascii="Verdana" w:hAnsi="Verdana"/>
          <w:lang w:val="en-GB"/>
        </w:rPr>
        <w:t xml:space="preserve"> </w:t>
      </w:r>
      <w:r>
        <w:rPr>
          <w:lang w:val="en-US"/>
        </w:rPr>
        <w:t>“</w:t>
      </w:r>
      <w:r w:rsidRPr="00161596">
        <w:rPr>
          <w:rFonts w:ascii="Verdana" w:hAnsi="Verdana"/>
          <w:lang w:val="en-GB"/>
        </w:rPr>
        <w:t>Temperature Resistant Polymer Coating Systems for Frying, Cooking and Baking equipment</w:t>
      </w:r>
      <w:r>
        <w:rPr>
          <w:rFonts w:ascii="Verdana" w:hAnsi="Verdana"/>
          <w:lang w:val="en-GB"/>
        </w:rPr>
        <w:t>”</w:t>
      </w:r>
      <w:r w:rsidRPr="00161596">
        <w:rPr>
          <w:rFonts w:ascii="Verdana" w:hAnsi="Verdana"/>
          <w:lang w:val="en-GB"/>
        </w:rPr>
        <w:t xml:space="preserve"> as component for binding resin (Polysulfone)</w:t>
      </w:r>
      <w:r w:rsidRPr="00161596">
        <w:rPr>
          <w:rFonts w:ascii="Verdana" w:hAnsi="Verdana"/>
          <w:lang w:val="en-US"/>
        </w:rPr>
        <w:t>, included is the specific migration limit (SML) according to (EU) No 10/2011</w:t>
      </w:r>
      <w:r>
        <w:rPr>
          <w:rFonts w:ascii="Verdana" w:hAnsi="Verdana"/>
          <w:lang w:val="en-US"/>
        </w:rPr>
        <w:t xml:space="preserve"> of</w:t>
      </w:r>
      <w:r w:rsidRPr="00161596">
        <w:rPr>
          <w:rFonts w:ascii="Verdana" w:hAnsi="Verdana"/>
          <w:lang w:val="en-US"/>
        </w:rPr>
        <w:t xml:space="preserve"> 0.05 mg/kg.</w:t>
      </w:r>
      <w:r w:rsidRPr="00161596">
        <w:rPr>
          <w:rFonts w:ascii="Verdana" w:hAnsi="Verdana" w:cstheme="minorBidi"/>
          <w:lang w:val="en-US" w:eastAsia="fr-FR"/>
        </w:rPr>
        <w:t xml:space="preserve"> </w:t>
      </w:r>
      <w:r>
        <w:rPr>
          <w:rFonts w:ascii="Verdana" w:hAnsi="Verdana" w:cstheme="minorBidi"/>
          <w:lang w:val="en-US" w:eastAsia="fr-FR"/>
        </w:rPr>
        <w:t>Further</w:t>
      </w:r>
      <w:r w:rsidR="00C94F53">
        <w:rPr>
          <w:rFonts w:ascii="Verdana" w:hAnsi="Verdana" w:cstheme="minorBidi"/>
          <w:lang w:val="en-US" w:eastAsia="fr-FR"/>
        </w:rPr>
        <w:t>more, limit values</w:t>
      </w:r>
      <w:r>
        <w:rPr>
          <w:rFonts w:ascii="Verdana" w:hAnsi="Verdana" w:cstheme="minorBidi"/>
          <w:lang w:val="en-US" w:eastAsia="fr-FR"/>
        </w:rPr>
        <w:t xml:space="preserve"> for</w:t>
      </w:r>
      <w:r w:rsidRPr="00DC03FE">
        <w:rPr>
          <w:rFonts w:ascii="Verdana" w:hAnsi="Verdana" w:cstheme="minorBidi"/>
          <w:lang w:val="en-US" w:eastAsia="fr-FR"/>
        </w:rPr>
        <w:t xml:space="preserve"> low molecular weight components in finished coatings</w:t>
      </w:r>
      <w:r>
        <w:rPr>
          <w:rFonts w:ascii="Verdana" w:hAnsi="Verdana" w:cstheme="minorBidi"/>
          <w:lang w:val="en-US" w:eastAsia="fr-FR"/>
        </w:rPr>
        <w:t xml:space="preserve"> are listed: for polyethersulfone the content in final coatings is 0.05 mg/dm</w:t>
      </w:r>
      <w:r w:rsidRPr="00DC03FE">
        <w:rPr>
          <w:rFonts w:ascii="Verdana" w:hAnsi="Verdana" w:cstheme="minorBidi"/>
          <w:vertAlign w:val="superscript"/>
          <w:lang w:val="en-US" w:eastAsia="fr-FR"/>
        </w:rPr>
        <w:t>2</w:t>
      </w:r>
      <w:r>
        <w:rPr>
          <w:rFonts w:ascii="Verdana" w:hAnsi="Verdana" w:cstheme="minorBidi"/>
          <w:lang w:val="en-US" w:eastAsia="fr-FR"/>
        </w:rPr>
        <w:t>.</w:t>
      </w:r>
    </w:p>
    <w:p w14:paraId="4B2A9E4E" w14:textId="77777777" w:rsidR="00E627AA" w:rsidRPr="00E94D45" w:rsidRDefault="00E627AA">
      <w:pPr>
        <w:widowControl/>
        <w:spacing w:after="200" w:line="276" w:lineRule="auto"/>
        <w:rPr>
          <w:rFonts w:cs="Arial"/>
          <w:b/>
          <w:bCs/>
          <w:snapToGrid/>
          <w:color w:val="4F81BD" w:themeColor="accent1"/>
          <w:sz w:val="28"/>
          <w:szCs w:val="28"/>
          <w:lang w:val="en-US"/>
        </w:rPr>
      </w:pPr>
    </w:p>
    <w:p w14:paraId="683539CC" w14:textId="77777777" w:rsidR="00BE5AF4" w:rsidRPr="000711F7" w:rsidRDefault="00BE5AF4" w:rsidP="00BE5AF4">
      <w:pPr>
        <w:pStyle w:val="Heading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D" w14:textId="77777777" w:rsidR="00BE5AF4" w:rsidRPr="00D53A3D" w:rsidRDefault="00BE5AF4" w:rsidP="00FB30A3">
      <w:r w:rsidRPr="00D53A3D">
        <w:t>This conclusion is based on the REACH and CLP data as well as other available relevant information taking into account the SVHC Roadmap to 2020, where appropriate.</w:t>
      </w:r>
    </w:p>
    <w:p w14:paraId="683539CE" w14:textId="77777777" w:rsidR="00D37806" w:rsidRDefault="00D37806" w:rsidP="00FB30A3">
      <w:pPr>
        <w:rPr>
          <w:i/>
        </w:rPr>
      </w:pPr>
    </w:p>
    <w:p w14:paraId="683539D0" w14:textId="77777777" w:rsidR="00BE5AF4" w:rsidRDefault="00BE5AF4" w:rsidP="00BE5AF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44546997" w:rsidR="00B2524D" w:rsidRPr="00B2524D" w:rsidRDefault="00E627AA" w:rsidP="00B2524D">
            <w:pPr>
              <w:jc w:val="center"/>
            </w:pPr>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77777777" w:rsidR="00B2524D" w:rsidRPr="00B2524D" w:rsidRDefault="00B2524D" w:rsidP="00B2524D"/>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D649006" w:rsidR="00B2524D" w:rsidRPr="00B2524D" w:rsidRDefault="00E627AA" w:rsidP="00B2524D">
            <w:pPr>
              <w:spacing w:line="276" w:lineRule="auto"/>
              <w:jc w:val="center"/>
            </w:pPr>
            <w:r>
              <w:t>x</w:t>
            </w: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9E9" w14:textId="77777777" w:rsidR="00B2524D" w:rsidRDefault="00B2524D" w:rsidP="00BE5AF4">
      <w:pPr>
        <w:pStyle w:val="BodyText"/>
      </w:pPr>
    </w:p>
    <w:p w14:paraId="68353A01" w14:textId="77777777" w:rsidR="00A446BC" w:rsidRDefault="00A446BC" w:rsidP="00471457"/>
    <w:p w14:paraId="68353A02" w14:textId="3F03CD19" w:rsidR="001A2E10" w:rsidRDefault="001A2E10">
      <w:pPr>
        <w:widowControl/>
        <w:spacing w:after="200" w:line="276" w:lineRule="auto"/>
      </w:pPr>
      <w:r>
        <w:br w:type="page"/>
      </w:r>
    </w:p>
    <w:p w14:paraId="0FE00363" w14:textId="77777777" w:rsidR="00A446BC" w:rsidRPr="006E3CBA" w:rsidRDefault="00A446BC" w:rsidP="00471457"/>
    <w:p w14:paraId="68353A08" w14:textId="203F48C9" w:rsidR="003C3793" w:rsidRPr="001A2E10" w:rsidRDefault="00AF77F1" w:rsidP="00471457">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11" w14:textId="77777777" w:rsidR="004F6831" w:rsidRDefault="004F6831" w:rsidP="004F6831">
      <w:pPr>
        <w:pStyle w:val="BodyText"/>
      </w:pPr>
      <w:bookmarkStart w:id="3" w:name="_Toc357683639"/>
    </w:p>
    <w:p w14:paraId="68353A12" w14:textId="77777777" w:rsidR="004F6831" w:rsidRDefault="008A1880" w:rsidP="008A1880">
      <w:pPr>
        <w:pStyle w:val="Heading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Identification as a substance of very high concern, SVHC (first step towards authorisation)</w:t>
      </w:r>
    </w:p>
    <w:p w14:paraId="68353A13" w14:textId="77777777" w:rsidR="004F6831" w:rsidRDefault="004F6831" w:rsidP="00270FFE">
      <w:pPr>
        <w:pStyle w:val="BodyText"/>
      </w:pPr>
    </w:p>
    <w:p w14:paraId="2553823A" w14:textId="26DBDCFF" w:rsidR="00232075" w:rsidRDefault="00232075" w:rsidP="00232075">
      <w:pPr>
        <w:pStyle w:val="Caption"/>
        <w:ind w:left="0"/>
        <w:jc w:val="both"/>
        <w:rPr>
          <w:rFonts w:ascii="Verdana" w:hAnsi="Verdana"/>
          <w:sz w:val="20"/>
        </w:rPr>
      </w:pPr>
      <w:r>
        <w:rPr>
          <w:rFonts w:ascii="Verdana" w:hAnsi="Verdana"/>
          <w:sz w:val="20"/>
        </w:rPr>
        <w:t>T</w:t>
      </w:r>
      <w:r w:rsidRPr="00A16D72">
        <w:rPr>
          <w:rFonts w:ascii="Verdana" w:hAnsi="Verdana" w:cs="Verdana"/>
          <w:sz w:val="20"/>
          <w:lang w:eastAsia="en-GB"/>
        </w:rPr>
        <w:t xml:space="preserve">he substance </w:t>
      </w:r>
      <w:r>
        <w:rPr>
          <w:rFonts w:ascii="Verdana" w:hAnsi="Verdana" w:cs="Verdana"/>
          <w:sz w:val="20"/>
          <w:lang w:eastAsia="en-GB"/>
        </w:rPr>
        <w:t>BCPS is mainly used as monomer for the manufacture of polymers like high performance polymers (PESU, PSU, PPSU)</w:t>
      </w:r>
      <w:r w:rsidRPr="00A16D72">
        <w:rPr>
          <w:rFonts w:ascii="Verdana" w:hAnsi="Verdana" w:cs="Verdana"/>
          <w:sz w:val="20"/>
          <w:lang w:eastAsia="en-GB"/>
        </w:rPr>
        <w:t xml:space="preserve"> and other chemicals</w:t>
      </w:r>
      <w:r>
        <w:rPr>
          <w:rFonts w:ascii="Verdana" w:hAnsi="Verdana" w:cs="Verdana"/>
          <w:sz w:val="20"/>
          <w:lang w:eastAsia="en-GB"/>
        </w:rPr>
        <w:t xml:space="preserve"> in quantities of 1,000 – 10,000 tons per year</w:t>
      </w:r>
      <w:r w:rsidRPr="00A16D72">
        <w:rPr>
          <w:rFonts w:ascii="Verdana" w:hAnsi="Verdana" w:cs="Verdana"/>
          <w:sz w:val="20"/>
          <w:lang w:eastAsia="en-GB"/>
        </w:rPr>
        <w:t>. Professional and consumer uses have not been registered.</w:t>
      </w:r>
      <w:r>
        <w:rPr>
          <w:rFonts w:ascii="Verdana" w:hAnsi="Verdana" w:cs="Verdana"/>
          <w:sz w:val="20"/>
          <w:lang w:eastAsia="en-GB"/>
        </w:rPr>
        <w:t xml:space="preserve"> Article service live is indicated. </w:t>
      </w:r>
      <w:r w:rsidRPr="005D0676">
        <w:rPr>
          <w:rFonts w:ascii="Verdana" w:hAnsi="Verdana" w:cs="Verdana"/>
          <w:sz w:val="20"/>
          <w:lang w:eastAsia="en-GB"/>
        </w:rPr>
        <w:t>The manufactured articles are used by professionals and consumers</w:t>
      </w:r>
      <w:r>
        <w:rPr>
          <w:rFonts w:ascii="Verdana" w:hAnsi="Verdana" w:cs="Verdana"/>
          <w:sz w:val="20"/>
          <w:lang w:eastAsia="en-GB"/>
        </w:rPr>
        <w:t xml:space="preserve">. </w:t>
      </w:r>
      <w:r w:rsidRPr="00381C55">
        <w:rPr>
          <w:rFonts w:ascii="Verdana" w:hAnsi="Verdana" w:cs="Verdana"/>
          <w:sz w:val="20"/>
          <w:lang w:eastAsia="en-GB"/>
        </w:rPr>
        <w:t>Typical sector</w:t>
      </w:r>
      <w:r>
        <w:rPr>
          <w:rFonts w:ascii="Verdana" w:hAnsi="Verdana" w:cs="Verdana"/>
          <w:sz w:val="20"/>
          <w:lang w:eastAsia="en-GB"/>
        </w:rPr>
        <w:t>s</w:t>
      </w:r>
      <w:r w:rsidRPr="00381C55">
        <w:rPr>
          <w:rFonts w:ascii="Verdana" w:hAnsi="Verdana" w:cs="Verdana"/>
          <w:sz w:val="20"/>
          <w:lang w:eastAsia="en-GB"/>
        </w:rPr>
        <w:t xml:space="preserve"> </w:t>
      </w:r>
      <w:r>
        <w:rPr>
          <w:rFonts w:ascii="Verdana" w:hAnsi="Verdana" w:cs="Verdana"/>
          <w:sz w:val="20"/>
          <w:lang w:eastAsia="en-GB"/>
        </w:rPr>
        <w:t xml:space="preserve">of use </w:t>
      </w:r>
      <w:r w:rsidRPr="00381C55">
        <w:rPr>
          <w:rFonts w:ascii="Verdana" w:hAnsi="Verdana" w:cs="Verdana"/>
          <w:sz w:val="20"/>
          <w:lang w:eastAsia="en-GB"/>
        </w:rPr>
        <w:t xml:space="preserve">are </w:t>
      </w:r>
      <w:r>
        <w:rPr>
          <w:rFonts w:ascii="Verdana" w:hAnsi="Verdana" w:cs="Verdana"/>
          <w:sz w:val="20"/>
          <w:lang w:eastAsia="en-GB"/>
        </w:rPr>
        <w:t xml:space="preserve">e.g. the </w:t>
      </w:r>
      <w:r w:rsidR="008166B6">
        <w:rPr>
          <w:rFonts w:ascii="Verdana" w:hAnsi="Verdana" w:cs="Verdana"/>
          <w:sz w:val="20"/>
          <w:lang w:eastAsia="en-GB"/>
        </w:rPr>
        <w:t xml:space="preserve">automotive industry, rubber production, </w:t>
      </w:r>
      <w:r>
        <w:rPr>
          <w:rFonts w:ascii="Verdana" w:hAnsi="Verdana" w:cs="Verdana"/>
          <w:sz w:val="20"/>
          <w:lang w:eastAsia="en-GB"/>
        </w:rPr>
        <w:t>f</w:t>
      </w:r>
      <w:r w:rsidRPr="00381C55">
        <w:rPr>
          <w:rFonts w:ascii="Verdana" w:hAnsi="Verdana" w:cs="Verdana"/>
          <w:sz w:val="20"/>
          <w:lang w:eastAsia="en-GB"/>
        </w:rPr>
        <w:t>ood processing indus</w:t>
      </w:r>
      <w:r>
        <w:rPr>
          <w:rFonts w:ascii="Verdana" w:hAnsi="Verdana" w:cs="Verdana"/>
          <w:sz w:val="20"/>
          <w:lang w:eastAsia="en-GB"/>
        </w:rPr>
        <w:t>try, the e</w:t>
      </w:r>
      <w:r w:rsidRPr="00381C55">
        <w:rPr>
          <w:rFonts w:ascii="Verdana" w:hAnsi="Verdana" w:cs="Verdana"/>
          <w:sz w:val="20"/>
          <w:lang w:eastAsia="en-GB"/>
        </w:rPr>
        <w:t>lectrical and electronic industries</w:t>
      </w:r>
      <w:r>
        <w:rPr>
          <w:rFonts w:ascii="Verdana" w:hAnsi="Verdana" w:cs="Verdana"/>
          <w:sz w:val="20"/>
          <w:lang w:eastAsia="en-GB"/>
        </w:rPr>
        <w:t xml:space="preserve">. Further, BCPS is used for medicals equipment, water treatment applications and the aerospace sector. </w:t>
      </w:r>
      <w:r w:rsidR="009D6A1D">
        <w:rPr>
          <w:rFonts w:ascii="Verdana" w:hAnsi="Verdana" w:cs="Verdana"/>
          <w:sz w:val="20"/>
          <w:lang w:eastAsia="en-GB"/>
        </w:rPr>
        <w:br/>
      </w:r>
      <w:r w:rsidR="008166B6">
        <w:rPr>
          <w:rFonts w:ascii="Verdana" w:hAnsi="Verdana" w:cs="Verdana"/>
          <w:sz w:val="20"/>
          <w:lang w:eastAsia="en-GB"/>
        </w:rPr>
        <w:t>A</w:t>
      </w:r>
      <w:r w:rsidRPr="000E4DEA">
        <w:rPr>
          <w:rFonts w:ascii="Verdana" w:hAnsi="Verdana"/>
          <w:sz w:val="20"/>
        </w:rPr>
        <w:t xml:space="preserve"> minor </w:t>
      </w:r>
      <w:r w:rsidR="009D6A1D">
        <w:rPr>
          <w:rFonts w:ascii="Verdana" w:hAnsi="Verdana"/>
          <w:sz w:val="20"/>
        </w:rPr>
        <w:t xml:space="preserve">non-monomer </w:t>
      </w:r>
      <w:r w:rsidRPr="000E4DEA">
        <w:rPr>
          <w:rFonts w:ascii="Verdana" w:hAnsi="Verdana"/>
          <w:sz w:val="20"/>
        </w:rPr>
        <w:t xml:space="preserve">use </w:t>
      </w:r>
      <w:r w:rsidR="008166B6">
        <w:rPr>
          <w:rFonts w:ascii="Verdana" w:hAnsi="Verdana"/>
          <w:sz w:val="20"/>
        </w:rPr>
        <w:t>is as additive in fluoropolymers</w:t>
      </w:r>
      <w:r w:rsidRPr="000E4DEA">
        <w:rPr>
          <w:rFonts w:ascii="Verdana" w:hAnsi="Verdana"/>
          <w:sz w:val="20"/>
        </w:rPr>
        <w:t xml:space="preserve">. </w:t>
      </w:r>
    </w:p>
    <w:p w14:paraId="0FB7C3A4" w14:textId="239FDADD" w:rsidR="00232075" w:rsidRPr="00557FE3" w:rsidRDefault="00232075" w:rsidP="00232075">
      <w:pPr>
        <w:pStyle w:val="Caption"/>
        <w:ind w:left="0"/>
        <w:jc w:val="both"/>
        <w:rPr>
          <w:rFonts w:ascii="Verdana" w:hAnsi="Verdana"/>
          <w:sz w:val="20"/>
        </w:rPr>
      </w:pPr>
      <w:r w:rsidRPr="00557FE3">
        <w:rPr>
          <w:rFonts w:ascii="Verdana" w:hAnsi="Verdana"/>
          <w:sz w:val="20"/>
        </w:rPr>
        <w:t xml:space="preserve">Main concerns </w:t>
      </w:r>
      <w:r>
        <w:rPr>
          <w:rFonts w:ascii="Verdana" w:hAnsi="Verdana"/>
          <w:sz w:val="20"/>
        </w:rPr>
        <w:t xml:space="preserve">for BCPS </w:t>
      </w:r>
      <w:r w:rsidRPr="00557FE3">
        <w:rPr>
          <w:rFonts w:ascii="Verdana" w:hAnsi="Verdana"/>
          <w:sz w:val="20"/>
        </w:rPr>
        <w:t xml:space="preserve">are the combination of the following </w:t>
      </w:r>
      <w:r>
        <w:rPr>
          <w:rFonts w:ascii="Verdana" w:hAnsi="Verdana"/>
          <w:sz w:val="20"/>
        </w:rPr>
        <w:t>properties</w:t>
      </w:r>
      <w:r w:rsidRPr="00557FE3">
        <w:rPr>
          <w:rFonts w:ascii="Verdana" w:hAnsi="Verdana"/>
          <w:sz w:val="20"/>
        </w:rPr>
        <w:t xml:space="preserve">: </w:t>
      </w:r>
      <w:r>
        <w:rPr>
          <w:rFonts w:ascii="Verdana" w:hAnsi="Verdana"/>
          <w:sz w:val="20"/>
        </w:rPr>
        <w:t>the substance is considered as very</w:t>
      </w:r>
      <w:r w:rsidRPr="00557FE3">
        <w:rPr>
          <w:rFonts w:ascii="Verdana" w:hAnsi="Verdana"/>
          <w:sz w:val="20"/>
        </w:rPr>
        <w:t xml:space="preserve"> persisten</w:t>
      </w:r>
      <w:r>
        <w:rPr>
          <w:rFonts w:ascii="Verdana" w:hAnsi="Verdana"/>
          <w:sz w:val="20"/>
        </w:rPr>
        <w:t>t</w:t>
      </w:r>
      <w:r w:rsidRPr="00557FE3">
        <w:rPr>
          <w:rFonts w:ascii="Verdana" w:hAnsi="Verdana"/>
          <w:sz w:val="20"/>
        </w:rPr>
        <w:t xml:space="preserve"> (vP)</w:t>
      </w:r>
      <w:r>
        <w:rPr>
          <w:rFonts w:ascii="Verdana" w:hAnsi="Verdana"/>
          <w:sz w:val="20"/>
        </w:rPr>
        <w:t xml:space="preserve"> and very bioaccumulative (vB)</w:t>
      </w:r>
      <w:r w:rsidR="008166B6">
        <w:rPr>
          <w:rFonts w:ascii="Verdana" w:hAnsi="Verdana"/>
          <w:sz w:val="20"/>
        </w:rPr>
        <w:t xml:space="preserve"> by the </w:t>
      </w:r>
      <w:r w:rsidR="0097054F">
        <w:rPr>
          <w:rFonts w:ascii="Verdana" w:hAnsi="Verdana"/>
          <w:sz w:val="20"/>
        </w:rPr>
        <w:t>evaluating</w:t>
      </w:r>
      <w:r w:rsidR="008166B6">
        <w:rPr>
          <w:rFonts w:ascii="Verdana" w:hAnsi="Verdana"/>
          <w:sz w:val="20"/>
        </w:rPr>
        <w:t xml:space="preserve"> Member State</w:t>
      </w:r>
      <w:r>
        <w:rPr>
          <w:rFonts w:ascii="Verdana" w:hAnsi="Verdana"/>
          <w:sz w:val="20"/>
        </w:rPr>
        <w:t>.</w:t>
      </w:r>
      <w:r w:rsidRPr="004D0555">
        <w:rPr>
          <w:rFonts w:ascii="Verdana" w:hAnsi="Verdana" w:cs="Verdana"/>
          <w:sz w:val="20"/>
          <w:lang w:eastAsia="en-GB"/>
        </w:rPr>
        <w:t xml:space="preserve"> </w:t>
      </w:r>
      <w:r w:rsidR="00833ACD">
        <w:rPr>
          <w:rFonts w:ascii="Verdana" w:hAnsi="Verdana" w:cs="Verdana"/>
          <w:sz w:val="20"/>
          <w:lang w:eastAsia="en-GB"/>
        </w:rPr>
        <w:t xml:space="preserve">The substance </w:t>
      </w:r>
      <w:r>
        <w:rPr>
          <w:rFonts w:ascii="Verdana" w:hAnsi="Verdana" w:cs="Verdana"/>
          <w:sz w:val="20"/>
          <w:lang w:eastAsia="en-GB"/>
        </w:rPr>
        <w:t xml:space="preserve">is </w:t>
      </w:r>
      <w:r w:rsidR="00833ACD">
        <w:rPr>
          <w:rFonts w:ascii="Verdana" w:hAnsi="Verdana" w:cs="Verdana"/>
          <w:sz w:val="20"/>
          <w:lang w:eastAsia="en-GB"/>
        </w:rPr>
        <w:t xml:space="preserve">assumed to be mainly </w:t>
      </w:r>
      <w:r w:rsidRPr="00557FE3">
        <w:rPr>
          <w:rFonts w:ascii="Verdana" w:hAnsi="Verdana" w:cs="Verdana"/>
          <w:sz w:val="20"/>
          <w:lang w:eastAsia="en-GB"/>
        </w:rPr>
        <w:t xml:space="preserve">distributed via water and has the potential to contaminate drinking water. </w:t>
      </w:r>
      <w:r w:rsidRPr="00557FE3">
        <w:rPr>
          <w:rFonts w:ascii="Verdana" w:hAnsi="Verdana"/>
          <w:sz w:val="20"/>
        </w:rPr>
        <w:t xml:space="preserve">The main environmental transport will take place in water </w:t>
      </w:r>
      <w:r>
        <w:rPr>
          <w:rFonts w:ascii="Verdana" w:hAnsi="Verdana"/>
          <w:sz w:val="20"/>
        </w:rPr>
        <w:t xml:space="preserve">rather than </w:t>
      </w:r>
      <w:r w:rsidRPr="00557FE3">
        <w:rPr>
          <w:rFonts w:ascii="Verdana" w:hAnsi="Verdana"/>
          <w:sz w:val="20"/>
        </w:rPr>
        <w:t xml:space="preserve">in air. The ultimative sink of BCPS seems to be the sediment. </w:t>
      </w:r>
    </w:p>
    <w:p w14:paraId="17D91285" w14:textId="4D1A670C" w:rsidR="00232075" w:rsidRPr="00792E07" w:rsidRDefault="00232075" w:rsidP="00232075">
      <w:pPr>
        <w:pStyle w:val="Caption"/>
        <w:ind w:left="0"/>
        <w:jc w:val="both"/>
        <w:rPr>
          <w:rFonts w:ascii="Verdana" w:hAnsi="Verdana"/>
          <w:sz w:val="20"/>
        </w:rPr>
      </w:pPr>
      <w:r>
        <w:rPr>
          <w:rFonts w:ascii="Verdana" w:hAnsi="Verdana"/>
          <w:sz w:val="20"/>
        </w:rPr>
        <w:t>Measured</w:t>
      </w:r>
      <w:r w:rsidRPr="00557FE3">
        <w:rPr>
          <w:rFonts w:ascii="Verdana" w:hAnsi="Verdana"/>
          <w:sz w:val="20"/>
        </w:rPr>
        <w:t xml:space="preserve"> levels </w:t>
      </w:r>
      <w:r>
        <w:rPr>
          <w:rFonts w:ascii="Verdana" w:hAnsi="Verdana"/>
          <w:sz w:val="20"/>
        </w:rPr>
        <w:t xml:space="preserve">of BCPS show </w:t>
      </w:r>
      <w:r w:rsidRPr="00557FE3">
        <w:rPr>
          <w:rFonts w:ascii="Verdana" w:hAnsi="Verdana"/>
          <w:sz w:val="20"/>
        </w:rPr>
        <w:t>widespread environmental occurrence</w:t>
      </w:r>
      <w:r>
        <w:rPr>
          <w:rFonts w:ascii="Verdana" w:hAnsi="Verdana"/>
          <w:sz w:val="20"/>
        </w:rPr>
        <w:t xml:space="preserve"> in the aquatic environment and biota. </w:t>
      </w:r>
      <w:r w:rsidRPr="00557FE3">
        <w:rPr>
          <w:rFonts w:ascii="Verdana" w:hAnsi="Verdana"/>
          <w:sz w:val="20"/>
        </w:rPr>
        <w:t>The need for minimizing emissions is also substantiated by the pot</w:t>
      </w:r>
      <w:r>
        <w:rPr>
          <w:rFonts w:ascii="Verdana" w:hAnsi="Verdana"/>
          <w:sz w:val="20"/>
        </w:rPr>
        <w:t>ential for long-range transport and</w:t>
      </w:r>
      <w:r w:rsidRPr="00557FE3">
        <w:rPr>
          <w:rFonts w:ascii="Verdana" w:hAnsi="Verdana"/>
          <w:sz w:val="20"/>
        </w:rPr>
        <w:t xml:space="preserve"> wide dispersive use in polymers</w:t>
      </w:r>
      <w:r>
        <w:rPr>
          <w:rFonts w:ascii="Verdana" w:hAnsi="Verdana"/>
          <w:sz w:val="20"/>
        </w:rPr>
        <w:t xml:space="preserve">. Therefore, </w:t>
      </w:r>
      <w:r w:rsidRPr="00557FE3">
        <w:rPr>
          <w:rFonts w:ascii="Verdana" w:hAnsi="Verdana"/>
          <w:sz w:val="20"/>
        </w:rPr>
        <w:t xml:space="preserve">it is </w:t>
      </w:r>
      <w:r>
        <w:rPr>
          <w:rFonts w:ascii="Verdana" w:hAnsi="Verdana"/>
          <w:sz w:val="20"/>
        </w:rPr>
        <w:t xml:space="preserve">necessary </w:t>
      </w:r>
      <w:r w:rsidRPr="00557FE3">
        <w:rPr>
          <w:rFonts w:ascii="Verdana" w:hAnsi="Verdana"/>
          <w:sz w:val="20"/>
        </w:rPr>
        <w:t>to consider Europe-wide measures for risk reduction.</w:t>
      </w:r>
      <w:r>
        <w:rPr>
          <w:rFonts w:ascii="Verdana" w:hAnsi="Verdana"/>
          <w:sz w:val="20"/>
        </w:rPr>
        <w:t xml:space="preserve"> </w:t>
      </w:r>
      <w:r w:rsidRPr="00557FE3">
        <w:rPr>
          <w:rFonts w:ascii="Verdana" w:hAnsi="Verdana"/>
          <w:sz w:val="20"/>
        </w:rPr>
        <w:t xml:space="preserve">Human and environmental exposure to </w:t>
      </w:r>
      <w:r>
        <w:rPr>
          <w:rFonts w:ascii="Verdana" w:hAnsi="Verdana"/>
          <w:sz w:val="20"/>
        </w:rPr>
        <w:t>BCPS</w:t>
      </w:r>
      <w:r w:rsidRPr="00557FE3">
        <w:rPr>
          <w:rFonts w:ascii="Verdana" w:hAnsi="Verdana"/>
          <w:sz w:val="20"/>
        </w:rPr>
        <w:t xml:space="preserve"> </w:t>
      </w:r>
      <w:r w:rsidR="008166B6">
        <w:rPr>
          <w:rFonts w:ascii="Verdana" w:hAnsi="Verdana"/>
          <w:sz w:val="20"/>
        </w:rPr>
        <w:t>may</w:t>
      </w:r>
      <w:r w:rsidRPr="00557FE3">
        <w:rPr>
          <w:rFonts w:ascii="Verdana" w:hAnsi="Verdana"/>
          <w:sz w:val="20"/>
        </w:rPr>
        <w:t xml:space="preserve"> be the result of the use of polymers (unreacted monomer after polymerization; </w:t>
      </w:r>
      <w:r>
        <w:rPr>
          <w:rFonts w:ascii="Verdana" w:hAnsi="Verdana"/>
          <w:sz w:val="20"/>
        </w:rPr>
        <w:t xml:space="preserve">physical or UV–induced </w:t>
      </w:r>
      <w:r w:rsidRPr="00557FE3">
        <w:rPr>
          <w:rFonts w:ascii="Verdana" w:hAnsi="Verdana"/>
          <w:sz w:val="20"/>
        </w:rPr>
        <w:t>degradation of the polymer</w:t>
      </w:r>
      <w:r>
        <w:rPr>
          <w:rFonts w:ascii="Verdana" w:hAnsi="Verdana"/>
          <w:sz w:val="20"/>
        </w:rPr>
        <w:t xml:space="preserve"> and release/leaching of monomer out of the polymer matrix, release of additive from fluoropolymers</w:t>
      </w:r>
      <w:r w:rsidRPr="00557FE3">
        <w:rPr>
          <w:rFonts w:ascii="Verdana" w:hAnsi="Verdana"/>
          <w:sz w:val="20"/>
        </w:rPr>
        <w:t>) as well as their manufacture</w:t>
      </w:r>
      <w:r>
        <w:rPr>
          <w:rFonts w:ascii="Verdana" w:hAnsi="Verdana"/>
          <w:sz w:val="20"/>
        </w:rPr>
        <w:t xml:space="preserve">. </w:t>
      </w:r>
    </w:p>
    <w:p w14:paraId="7DA824AC" w14:textId="0A67E2FC" w:rsidR="00232075" w:rsidRPr="00792E07" w:rsidRDefault="00232075" w:rsidP="00232075">
      <w:pPr>
        <w:pStyle w:val="Caption"/>
        <w:ind w:left="0"/>
        <w:jc w:val="both"/>
        <w:rPr>
          <w:rFonts w:ascii="Verdana" w:hAnsi="Verdana"/>
          <w:sz w:val="20"/>
        </w:rPr>
      </w:pPr>
      <w:r w:rsidRPr="00792E07">
        <w:rPr>
          <w:rFonts w:ascii="Verdana" w:hAnsi="Verdana"/>
          <w:sz w:val="20"/>
        </w:rPr>
        <w:t>E</w:t>
      </w:r>
      <w:r w:rsidRPr="0002551B">
        <w:rPr>
          <w:rFonts w:ascii="Verdana" w:hAnsi="Verdana"/>
          <w:sz w:val="20"/>
        </w:rPr>
        <w:t>missions can occur not only during the manufacture</w:t>
      </w:r>
      <w:r>
        <w:rPr>
          <w:rFonts w:ascii="Verdana" w:hAnsi="Verdana"/>
          <w:sz w:val="20"/>
        </w:rPr>
        <w:t xml:space="preserve"> of the polymers</w:t>
      </w:r>
      <w:r w:rsidRPr="0002551B">
        <w:rPr>
          <w:rFonts w:ascii="Verdana" w:hAnsi="Verdana"/>
          <w:sz w:val="20"/>
        </w:rPr>
        <w:t>, but also at subsequent stages during article production</w:t>
      </w:r>
      <w:r>
        <w:rPr>
          <w:rFonts w:ascii="Verdana" w:hAnsi="Verdana"/>
          <w:sz w:val="20"/>
        </w:rPr>
        <w:t>, service life and disposal</w:t>
      </w:r>
      <w:r w:rsidRPr="0002551B">
        <w:rPr>
          <w:rFonts w:ascii="Verdana" w:hAnsi="Verdana"/>
          <w:sz w:val="20"/>
        </w:rPr>
        <w:t xml:space="preserve">. </w:t>
      </w:r>
      <w:r>
        <w:rPr>
          <w:rFonts w:ascii="Verdana" w:hAnsi="Verdana"/>
          <w:sz w:val="20"/>
        </w:rPr>
        <w:t xml:space="preserve">Emissions may also occur from the use of </w:t>
      </w:r>
      <w:r w:rsidRPr="0002551B">
        <w:rPr>
          <w:rFonts w:ascii="Verdana" w:hAnsi="Verdana"/>
          <w:sz w:val="20"/>
        </w:rPr>
        <w:t xml:space="preserve">imported </w:t>
      </w:r>
      <w:r>
        <w:rPr>
          <w:rFonts w:ascii="Verdana" w:hAnsi="Verdana"/>
          <w:sz w:val="20"/>
        </w:rPr>
        <w:t xml:space="preserve">articles </w:t>
      </w:r>
      <w:r w:rsidRPr="0002551B">
        <w:rPr>
          <w:rFonts w:ascii="Verdana" w:hAnsi="Verdana"/>
          <w:sz w:val="20"/>
        </w:rPr>
        <w:t>into Europe.</w:t>
      </w:r>
      <w:r>
        <w:rPr>
          <w:rFonts w:ascii="Verdana" w:hAnsi="Verdana"/>
          <w:sz w:val="20"/>
        </w:rPr>
        <w:t xml:space="preserve"> </w:t>
      </w:r>
      <w:r w:rsidRPr="004C038F">
        <w:rPr>
          <w:rFonts w:ascii="Verdana" w:hAnsi="Verdana"/>
          <w:sz w:val="20"/>
        </w:rPr>
        <w:t xml:space="preserve">Unreacted monomers are </w:t>
      </w:r>
      <w:r w:rsidR="004C038F" w:rsidRPr="004C038F">
        <w:rPr>
          <w:rFonts w:ascii="Verdana" w:hAnsi="Verdana"/>
          <w:sz w:val="20"/>
        </w:rPr>
        <w:t xml:space="preserve">according to registrant(s) </w:t>
      </w:r>
      <w:r w:rsidRPr="004C038F">
        <w:rPr>
          <w:rFonts w:ascii="Verdana" w:hAnsi="Verdana"/>
          <w:sz w:val="20"/>
        </w:rPr>
        <w:t>present in po</w:t>
      </w:r>
      <w:r w:rsidR="004C038F" w:rsidRPr="004C038F">
        <w:rPr>
          <w:rFonts w:ascii="Verdana" w:hAnsi="Verdana"/>
          <w:sz w:val="20"/>
        </w:rPr>
        <w:t>lymers in the range of &lt;100 ppm</w:t>
      </w:r>
      <w:r w:rsidRPr="004C038F">
        <w:rPr>
          <w:rFonts w:ascii="Verdana" w:hAnsi="Verdana"/>
          <w:sz w:val="20"/>
        </w:rPr>
        <w:t>. No</w:t>
      </w:r>
      <w:r>
        <w:rPr>
          <w:rFonts w:ascii="Verdana" w:hAnsi="Verdana"/>
          <w:sz w:val="20"/>
        </w:rPr>
        <w:t xml:space="preserve"> data are available for other batches of polymer granules or for (imported) articles. </w:t>
      </w:r>
      <w:r w:rsidRPr="00792E07">
        <w:rPr>
          <w:rFonts w:ascii="Verdana" w:hAnsi="Verdana"/>
          <w:sz w:val="20"/>
        </w:rPr>
        <w:t xml:space="preserve">Based on the high tonnage of a vP substance, even low fractions of release are of concern. </w:t>
      </w:r>
    </w:p>
    <w:p w14:paraId="3693C8B4" w14:textId="49B61B88" w:rsidR="00232075" w:rsidRDefault="00232075" w:rsidP="00232075">
      <w:pPr>
        <w:pStyle w:val="Caption"/>
        <w:ind w:left="0"/>
        <w:jc w:val="both"/>
        <w:rPr>
          <w:rFonts w:ascii="Verdana" w:hAnsi="Verdana"/>
          <w:sz w:val="20"/>
        </w:rPr>
      </w:pPr>
      <w:r>
        <w:rPr>
          <w:rFonts w:ascii="Verdana" w:hAnsi="Verdana"/>
          <w:sz w:val="20"/>
        </w:rPr>
        <w:t>Minor uses a</w:t>
      </w:r>
      <w:r w:rsidRPr="002D5E6D">
        <w:rPr>
          <w:rFonts w:ascii="Verdana" w:hAnsi="Verdana"/>
          <w:sz w:val="20"/>
        </w:rPr>
        <w:t xml:space="preserve">s additive </w:t>
      </w:r>
      <w:r>
        <w:rPr>
          <w:rFonts w:ascii="Verdana" w:hAnsi="Verdana"/>
          <w:sz w:val="20"/>
        </w:rPr>
        <w:t>in polymer matrices in concentrations higher than monomer residuals may lead to higher emission losses than the monomer use</w:t>
      </w:r>
      <w:r w:rsidRPr="002D5E6D">
        <w:rPr>
          <w:rFonts w:ascii="Verdana" w:hAnsi="Verdana"/>
          <w:sz w:val="20"/>
        </w:rPr>
        <w:t xml:space="preserve">. </w:t>
      </w:r>
    </w:p>
    <w:p w14:paraId="6E7263F3" w14:textId="280AF516" w:rsidR="0011142B" w:rsidRDefault="00232075" w:rsidP="00232075">
      <w:pPr>
        <w:jc w:val="both"/>
      </w:pPr>
      <w:r w:rsidRPr="004C038F">
        <w:t xml:space="preserve">It </w:t>
      </w:r>
      <w:r w:rsidR="00C95875">
        <w:t xml:space="preserve">has been suggested that </w:t>
      </w:r>
      <w:r w:rsidRPr="004C038F">
        <w:t xml:space="preserve">BCPS levels found in the environment </w:t>
      </w:r>
      <w:r w:rsidR="00C95875">
        <w:t xml:space="preserve">may </w:t>
      </w:r>
      <w:r w:rsidRPr="004C038F">
        <w:t>be explained by historical use of agricultural products such as DD</w:t>
      </w:r>
      <w:r w:rsidR="003363DA" w:rsidRPr="004C038F">
        <w:t>T containing BCPS</w:t>
      </w:r>
      <w:r w:rsidRPr="004C038F">
        <w:t>.</w:t>
      </w:r>
      <w:r>
        <w:t xml:space="preserve"> </w:t>
      </w:r>
      <w:r w:rsidR="00C95875">
        <w:t xml:space="preserve">However, this assumption seems very unlikely as </w:t>
      </w:r>
      <w:r>
        <w:t>DDT has been phased out many years ago, and current levels of DDT have sharply decrea</w:t>
      </w:r>
      <w:r w:rsidR="008166B6">
        <w:t>sed, while measurements of BCPS</w:t>
      </w:r>
      <w:r>
        <w:t xml:space="preserve"> manifestly demonstrate the occurrence of BCPS in biota and wastewater treatment plants. It is </w:t>
      </w:r>
      <w:r w:rsidR="00C95875">
        <w:t xml:space="preserve">thus </w:t>
      </w:r>
      <w:r>
        <w:t>more likely that either</w:t>
      </w:r>
      <w:r w:rsidRPr="00557FE3">
        <w:t xml:space="preserve"> current risk management measures </w:t>
      </w:r>
      <w:r>
        <w:t>during the use phase of BCPS containing polymers</w:t>
      </w:r>
      <w:r w:rsidRPr="00557FE3">
        <w:t xml:space="preserve"> are ineffective or that there are </w:t>
      </w:r>
      <w:r>
        <w:t xml:space="preserve">unknown </w:t>
      </w:r>
      <w:r w:rsidRPr="00557FE3">
        <w:t>sources</w:t>
      </w:r>
      <w:r w:rsidR="00C95875">
        <w:t xml:space="preserve"> of BCPS</w:t>
      </w:r>
      <w:r w:rsidRPr="00557FE3">
        <w:t xml:space="preserve">, which are not </w:t>
      </w:r>
      <w:r w:rsidR="00C95875">
        <w:t xml:space="preserve">identified </w:t>
      </w:r>
      <w:r w:rsidRPr="00557FE3">
        <w:t xml:space="preserve">in the current registrations. </w:t>
      </w:r>
    </w:p>
    <w:p w14:paraId="5D1F6A29" w14:textId="77777777" w:rsidR="0011142B" w:rsidRDefault="0011142B" w:rsidP="00232075">
      <w:pPr>
        <w:jc w:val="both"/>
      </w:pPr>
    </w:p>
    <w:p w14:paraId="44B0D97D" w14:textId="7ACA49BB" w:rsidR="003363DA" w:rsidRDefault="0011142B" w:rsidP="008C5BBE">
      <w:pPr>
        <w:pStyle w:val="BodyText"/>
        <w:jc w:val="both"/>
      </w:pPr>
      <w:r>
        <w:t>The continuous</w:t>
      </w:r>
      <w:r w:rsidRPr="009D5F3E">
        <w:t xml:space="preserve"> release of a </w:t>
      </w:r>
      <w:r>
        <w:t>very persistent</w:t>
      </w:r>
      <w:r w:rsidRPr="009D5F3E">
        <w:t xml:space="preserve"> chemical </w:t>
      </w:r>
      <w:r>
        <w:t xml:space="preserve">may </w:t>
      </w:r>
      <w:r w:rsidRPr="009D5F3E">
        <w:t xml:space="preserve">lead to </w:t>
      </w:r>
      <w:r>
        <w:t xml:space="preserve">a </w:t>
      </w:r>
      <w:r w:rsidRPr="009D5F3E">
        <w:t>long lasting</w:t>
      </w:r>
      <w:r>
        <w:t>,</w:t>
      </w:r>
      <w:r w:rsidRPr="009D5F3E">
        <w:t xml:space="preserve"> </w:t>
      </w:r>
      <w:r>
        <w:t xml:space="preserve">widespread </w:t>
      </w:r>
      <w:r w:rsidRPr="009D5F3E">
        <w:t xml:space="preserve">and </w:t>
      </w:r>
      <w:r>
        <w:t xml:space="preserve">ever </w:t>
      </w:r>
      <w:r w:rsidRPr="009D5F3E">
        <w:t>increas</w:t>
      </w:r>
      <w:r>
        <w:t>ing</w:t>
      </w:r>
      <w:r w:rsidRPr="009D5F3E">
        <w:t xml:space="preserve"> contamination.</w:t>
      </w:r>
      <w:r w:rsidRPr="007903CA">
        <w:t xml:space="preserve"> </w:t>
      </w:r>
      <w:r w:rsidR="003363DA">
        <w:t>S</w:t>
      </w:r>
      <w:r>
        <w:t>teadily growing</w:t>
      </w:r>
      <w:r w:rsidRPr="009D5F3E">
        <w:t xml:space="preserve"> concentration</w:t>
      </w:r>
      <w:r w:rsidR="003363DA">
        <w:t>s</w:t>
      </w:r>
      <w:r w:rsidRPr="009D5F3E">
        <w:t xml:space="preserve"> </w:t>
      </w:r>
      <w:r>
        <w:t xml:space="preserve">may finally lead </w:t>
      </w:r>
      <w:r w:rsidRPr="009D5F3E">
        <w:t xml:space="preserve">to </w:t>
      </w:r>
      <w:r>
        <w:t xml:space="preserve">known and unknown </w:t>
      </w:r>
      <w:r w:rsidRPr="009D5F3E">
        <w:t>effects.</w:t>
      </w:r>
      <w:r>
        <w:t xml:space="preserve"> Once such adverse </w:t>
      </w:r>
      <w:r w:rsidRPr="009D5F3E">
        <w:t xml:space="preserve">effects </w:t>
      </w:r>
      <w:r>
        <w:t>are identified</w:t>
      </w:r>
      <w:r w:rsidRPr="009D5F3E">
        <w:t xml:space="preserve">, it will </w:t>
      </w:r>
      <w:r>
        <w:t>be technically challenging, energy intensive, and thus costly to reverse the contamination.</w:t>
      </w:r>
      <w:r w:rsidRPr="007903CA">
        <w:t xml:space="preserve"> </w:t>
      </w:r>
      <w:r>
        <w:t>It is, therefore, of importance to minimize emissions and to prevent further contamination by adequate precaution-based measures.</w:t>
      </w:r>
    </w:p>
    <w:p w14:paraId="443A5A6A" w14:textId="58513AF5" w:rsidR="008C5BBE" w:rsidRDefault="008C5BBE" w:rsidP="008C5BBE">
      <w:pPr>
        <w:pStyle w:val="BodyText"/>
        <w:jc w:val="both"/>
      </w:pPr>
      <w:r>
        <w:t>In a first step</w:t>
      </w:r>
      <w:r w:rsidR="00C95875">
        <w:t>,</w:t>
      </w:r>
      <w:r>
        <w:t xml:space="preserve"> </w:t>
      </w:r>
      <w:r w:rsidR="0011142B">
        <w:t xml:space="preserve">the substance BCPS should be identified as an SVHC and included in the </w:t>
      </w:r>
      <w:r w:rsidR="003363DA">
        <w:t xml:space="preserve">REACH </w:t>
      </w:r>
      <w:r w:rsidR="0011142B">
        <w:t>Candidate list, thereby formally re</w:t>
      </w:r>
      <w:r>
        <w:t xml:space="preserve">cognising its vPvB properties. For its major use as a monomer, subsequent inclusion of BCPS in Annex XIV of REACH is not an </w:t>
      </w:r>
      <w:r w:rsidR="00C95875">
        <w:t xml:space="preserve">adequate </w:t>
      </w:r>
      <w:r>
        <w:t xml:space="preserve">option. However, registrants and future registrants will have to acknowledge </w:t>
      </w:r>
      <w:r w:rsidRPr="00EE4A46">
        <w:t>the vPvB status of BCPS and t</w:t>
      </w:r>
      <w:r>
        <w:t>hus make efforts t</w:t>
      </w:r>
      <w:r w:rsidRPr="00EE4A46">
        <w:t xml:space="preserve">o minimize emissions of the substance to the environment </w:t>
      </w:r>
      <w:r>
        <w:t>by applying</w:t>
      </w:r>
      <w:r w:rsidRPr="00EE4A46">
        <w:t xml:space="preserve"> specific</w:t>
      </w:r>
      <w:r>
        <w:t xml:space="preserve"> </w:t>
      </w:r>
      <w:r w:rsidRPr="00EE4A46">
        <w:t>operational conditions and risk management measures</w:t>
      </w:r>
      <w:r>
        <w:t xml:space="preserve">. </w:t>
      </w:r>
    </w:p>
    <w:p w14:paraId="4986BC68" w14:textId="705218D3" w:rsidR="008C5BBE" w:rsidRDefault="0011142B" w:rsidP="008C5BBE">
      <w:pPr>
        <w:pStyle w:val="BodyText"/>
        <w:jc w:val="both"/>
      </w:pPr>
      <w:r>
        <w:t xml:space="preserve">For the minor use as additive, authorization may ensure substitution where possible and minimization of emissions until substitution will be finally achieved. For this use, inclusion in Annex XIV would be an option, provided prioritization based on </w:t>
      </w:r>
      <w:r w:rsidR="00C95875">
        <w:t>(</w:t>
      </w:r>
      <w:r>
        <w:t>potentially low</w:t>
      </w:r>
      <w:r w:rsidR="00C95875">
        <w:t>)</w:t>
      </w:r>
      <w:r>
        <w:t xml:space="preserve"> scores. Since the share of emissions from this use is low </w:t>
      </w:r>
      <w:r w:rsidR="00C95875">
        <w:t xml:space="preserve">as </w:t>
      </w:r>
      <w:r>
        <w:t xml:space="preserve">compared to the major use as monomer, the risk reduction </w:t>
      </w:r>
      <w:r w:rsidR="00C95875">
        <w:t xml:space="preserve">effect </w:t>
      </w:r>
      <w:r>
        <w:t>is probably low as well. It is noted that currently a comprehensive restriction for poly- and perfluorinated alkyl substances (PFAS) is under discussion. Such a restriction could potentially lead to a</w:t>
      </w:r>
      <w:r w:rsidR="009D45D1">
        <w:t>n</w:t>
      </w:r>
      <w:r>
        <w:t xml:space="preserve"> </w:t>
      </w:r>
      <w:r w:rsidR="003B4800">
        <w:t xml:space="preserve">indirect </w:t>
      </w:r>
      <w:r>
        <w:t>halt of the use of BCPS as an additive in fluoropolymers.</w:t>
      </w:r>
    </w:p>
    <w:p w14:paraId="2E6B850D" w14:textId="3E369D01" w:rsidR="0011142B" w:rsidRDefault="003B4800" w:rsidP="008C5BBE">
      <w:pPr>
        <w:pStyle w:val="BodyText"/>
        <w:jc w:val="both"/>
      </w:pPr>
      <w:r>
        <w:t>Another risk management option would be a restriction. However, t</w:t>
      </w:r>
      <w:r w:rsidR="0011142B">
        <w:t>he currently available information about the sources and pathways of BCPS into the environment does not allow the formulation of a targeted</w:t>
      </w:r>
      <w:r w:rsidR="00947E44">
        <w:t>, effective restriction measure</w:t>
      </w:r>
      <w:r>
        <w:t xml:space="preserve"> </w:t>
      </w:r>
      <w:r w:rsidR="00947E44">
        <w:t>follow</w:t>
      </w:r>
      <w:r>
        <w:t>ing</w:t>
      </w:r>
      <w:r w:rsidR="00947E44">
        <w:t xml:space="preserve"> the SVHC identification.</w:t>
      </w:r>
      <w:r w:rsidR="0011142B">
        <w:t xml:space="preserve"> </w:t>
      </w:r>
      <w:r w:rsidR="0011142B" w:rsidRPr="009D45D1">
        <w:t xml:space="preserve">In order to improve the existing information basis, </w:t>
      </w:r>
      <w:r w:rsidRPr="009D45D1">
        <w:t xml:space="preserve">the </w:t>
      </w:r>
      <w:r w:rsidR="0011142B" w:rsidRPr="009D45D1">
        <w:t xml:space="preserve">Austrian CA proposes to </w:t>
      </w:r>
      <w:r w:rsidRPr="009D45D1">
        <w:t xml:space="preserve">consider </w:t>
      </w:r>
      <w:r w:rsidR="0011142B" w:rsidRPr="009D45D1">
        <w:t xml:space="preserve">jointly a European wide emission source tracing and environment monitoring involving voluntary programmes by Industry and/or Member States, respectively. Strategically targeted emission monitoring </w:t>
      </w:r>
      <w:r w:rsidRPr="009D45D1">
        <w:t>c</w:t>
      </w:r>
      <w:r w:rsidR="0011142B" w:rsidRPr="009D45D1">
        <w:t xml:space="preserve">ould support the identification of relevant emission sources, </w:t>
      </w:r>
      <w:r w:rsidRPr="009D45D1">
        <w:t>and</w:t>
      </w:r>
      <w:r w:rsidR="0011142B" w:rsidRPr="009D45D1">
        <w:t xml:space="preserve"> monitoring in aquatic environments </w:t>
      </w:r>
      <w:r w:rsidRPr="009D45D1">
        <w:t>c</w:t>
      </w:r>
      <w:r w:rsidR="0011142B" w:rsidRPr="009D45D1">
        <w:t>ould constitute a clearer picture of the relevance of BCPS pollution a</w:t>
      </w:r>
      <w:r w:rsidRPr="009D45D1">
        <w:t>nd potential pollution trends in Europe.</w:t>
      </w:r>
    </w:p>
    <w:p w14:paraId="6D83B156" w14:textId="035C6B8E" w:rsidR="00F515ED" w:rsidRDefault="003B4800" w:rsidP="001A2E10">
      <w:pPr>
        <w:pStyle w:val="BodyText"/>
        <w:jc w:val="both"/>
      </w:pPr>
      <w:r>
        <w:t>Such measures should obtain</w:t>
      </w:r>
      <w:r w:rsidR="0011142B">
        <w:t xml:space="preserve"> a clearer picture o</w:t>
      </w:r>
      <w:r>
        <w:t xml:space="preserve">f </w:t>
      </w:r>
      <w:r w:rsidR="0011142B">
        <w:t xml:space="preserve">sources for the environmental contaminations and more </w:t>
      </w:r>
      <w:r w:rsidR="006B0ABD">
        <w:t xml:space="preserve">information </w:t>
      </w:r>
      <w:r w:rsidR="0011142B">
        <w:t>on residual monomers and the release potential of BCPS</w:t>
      </w:r>
      <w:r w:rsidR="006B0ABD">
        <w:t xml:space="preserve">, which would allow to establish </w:t>
      </w:r>
      <w:r w:rsidR="0011142B">
        <w:t xml:space="preserve">targeted restriction measures. </w:t>
      </w:r>
    </w:p>
    <w:p w14:paraId="5EFA85C6" w14:textId="0A5AF068" w:rsidR="001A2E10" w:rsidRPr="001A2E10" w:rsidRDefault="001A2E10" w:rsidP="001A2E10">
      <w:pPr>
        <w:pStyle w:val="BodyText"/>
        <w:jc w:val="both"/>
      </w:pPr>
      <w:r>
        <w:t>If voluntary monitoring measures turn out to be inefficient for identifying the relevant sources of the detected BCPS contamination, a restriction establishing a mandatory effluent monitoring programme may be considered as a further option.</w:t>
      </w:r>
    </w:p>
    <w:p w14:paraId="5A3CDC5A" w14:textId="2A5CAACE" w:rsidR="0011142B" w:rsidRDefault="0011142B" w:rsidP="008C5BBE">
      <w:pPr>
        <w:pStyle w:val="BodyText"/>
        <w:jc w:val="both"/>
      </w:pPr>
      <w:r>
        <w:t xml:space="preserve">Based on the outcome of currently performed </w:t>
      </w:r>
      <w:r w:rsidR="006B0ABD">
        <w:t xml:space="preserve">additional </w:t>
      </w:r>
      <w:r>
        <w:t>toxicity testing, the substance m</w:t>
      </w:r>
      <w:r w:rsidR="006B0ABD">
        <w:t>ay</w:t>
      </w:r>
      <w:r>
        <w:t xml:space="preserve"> also need to be considered as a new POP candidate. </w:t>
      </w:r>
    </w:p>
    <w:p w14:paraId="338BA5EB" w14:textId="241197D5" w:rsidR="00232075" w:rsidRDefault="00232075" w:rsidP="00DE6A1C">
      <w:pPr>
        <w:jc w:val="both"/>
      </w:pPr>
      <w:r w:rsidRPr="00557FE3">
        <w:t xml:space="preserve"> </w:t>
      </w:r>
    </w:p>
    <w:bookmarkEnd w:id="3"/>
    <w:p w14:paraId="066003D9" w14:textId="77BC6A5B" w:rsidR="00492518" w:rsidRPr="00492518" w:rsidRDefault="00492518" w:rsidP="00492518">
      <w:pPr>
        <w:widowControl/>
        <w:spacing w:after="200"/>
        <w:contextualSpacing/>
      </w:pPr>
    </w:p>
    <w:p w14:paraId="68353A3C" w14:textId="3E86C7AC" w:rsidR="00DB0024" w:rsidRPr="00270FFE" w:rsidRDefault="006617E0" w:rsidP="00270FFE">
      <w:pPr>
        <w:pStyle w:val="Heading3"/>
        <w:numPr>
          <w:ilvl w:val="0"/>
          <w:numId w:val="6"/>
        </w:numPr>
        <w:rPr>
          <w:caps/>
          <w:color w:val="4F81BD" w:themeColor="accent1"/>
          <w:sz w:val="24"/>
          <w:szCs w:val="28"/>
        </w:rPr>
      </w:pPr>
      <w:r w:rsidRPr="00270FFE">
        <w:rPr>
          <w:caps/>
          <w:color w:val="4F81BD" w:themeColor="accent1"/>
          <w:sz w:val="24"/>
          <w:szCs w:val="28"/>
        </w:rPr>
        <w:t>TENTATIVE PLAN FOR FOLLOW-UP ACTIONS IF NECESSARY</w:t>
      </w:r>
    </w:p>
    <w:p w14:paraId="68353A3E" w14:textId="77777777" w:rsidR="00024D48" w:rsidRPr="00975612" w:rsidRDefault="00024D48" w:rsidP="00471457">
      <w:pPr>
        <w:jc w:val="both"/>
        <w:rPr>
          <w:i/>
        </w:rPr>
      </w:pPr>
    </w:p>
    <w:p w14:paraId="68353A4C" w14:textId="515EB034"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69940D32" w:rsidR="00A14C19" w:rsidRPr="003016DF" w:rsidRDefault="00A14C19" w:rsidP="00E627AA">
            <w:pPr>
              <w:spacing w:after="120"/>
            </w:pPr>
            <w:r w:rsidRPr="003016DF">
              <w:t xml:space="preserve">Annex XV dossier for </w:t>
            </w:r>
            <w:r w:rsidR="00E627AA">
              <w:t>SVHC identification</w:t>
            </w:r>
          </w:p>
        </w:tc>
        <w:tc>
          <w:tcPr>
            <w:tcW w:w="2520" w:type="dxa"/>
            <w:shd w:val="clear" w:color="auto" w:fill="auto"/>
          </w:tcPr>
          <w:p w14:paraId="68353A52" w14:textId="724F3F37" w:rsidR="00A14C19" w:rsidRPr="003016DF" w:rsidRDefault="00E627AA" w:rsidP="00A2050D">
            <w:r>
              <w:t>02 / 2023</w:t>
            </w:r>
            <w:r w:rsidR="00A14C19" w:rsidRPr="003016DF">
              <w:t xml:space="preserve"> </w:t>
            </w:r>
          </w:p>
        </w:tc>
        <w:tc>
          <w:tcPr>
            <w:tcW w:w="3780" w:type="dxa"/>
            <w:shd w:val="clear" w:color="auto" w:fill="auto"/>
          </w:tcPr>
          <w:p w14:paraId="68353A53" w14:textId="15CFA8D5" w:rsidR="00A14C19" w:rsidRPr="003016DF" w:rsidRDefault="00E627AA" w:rsidP="00A2050D">
            <w:r>
              <w:t>Austria</w:t>
            </w:r>
          </w:p>
        </w:tc>
      </w:tr>
    </w:tbl>
    <w:p w14:paraId="68353A59" w14:textId="77777777" w:rsidR="00997177" w:rsidRDefault="00DA17E4"/>
    <w:sectPr w:rsidR="0099717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97A8" w14:textId="77777777" w:rsidR="00086412" w:rsidRDefault="00086412" w:rsidP="00471457">
      <w:r>
        <w:separator/>
      </w:r>
    </w:p>
  </w:endnote>
  <w:endnote w:type="continuationSeparator" w:id="0">
    <w:p w14:paraId="047316A8" w14:textId="77777777" w:rsidR="00086412" w:rsidRDefault="0008641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8" w14:textId="77B134AD" w:rsidR="002E4026" w:rsidRPr="00B66083" w:rsidRDefault="00E86372" w:rsidP="002E4026">
    <w:pPr>
      <w:pStyle w:val="Footer"/>
      <w:jc w:val="center"/>
    </w:pPr>
    <w:r w:rsidRPr="009A61C8">
      <w:rPr>
        <w:sz w:val="18"/>
        <w:szCs w:val="18"/>
      </w:rPr>
      <w:t>EC no</w:t>
    </w:r>
    <w:r w:rsidR="00E94D45">
      <w:rPr>
        <w:sz w:val="18"/>
        <w:szCs w:val="18"/>
      </w:rPr>
      <w:t xml:space="preserve"> </w:t>
    </w:r>
    <w:r w:rsidR="00E94D45" w:rsidRPr="00E94D45">
      <w:rPr>
        <w:sz w:val="18"/>
        <w:szCs w:val="18"/>
      </w:rPr>
      <w:t>201-247-9</w:t>
    </w:r>
    <w:r w:rsidR="00E94D45">
      <w:rPr>
        <w:sz w:val="18"/>
        <w:szCs w:val="18"/>
      </w:rPr>
      <w:tab/>
      <w:t>MSCA - Austria</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9D62CA">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9D62CA">
      <w:rPr>
        <w:noProof/>
        <w:sz w:val="18"/>
        <w:szCs w:val="18"/>
      </w:rPr>
      <w:t>8</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A" w14:textId="2B71EC7E" w:rsidR="00C0335E" w:rsidRPr="00B66083" w:rsidRDefault="00E86372" w:rsidP="00B66083">
    <w:pPr>
      <w:pStyle w:val="Footer"/>
      <w:jc w:val="center"/>
    </w:pPr>
    <w:r w:rsidRPr="009A61C8">
      <w:rPr>
        <w:sz w:val="18"/>
        <w:szCs w:val="18"/>
      </w:rPr>
      <w:t>EC no</w:t>
    </w:r>
    <w:r w:rsidR="00E94D45">
      <w:rPr>
        <w:sz w:val="18"/>
        <w:szCs w:val="18"/>
      </w:rPr>
      <w:t xml:space="preserve"> 201-247-9</w:t>
    </w:r>
    <w:r w:rsidR="00E627AA">
      <w:rPr>
        <w:sz w:val="18"/>
        <w:szCs w:val="18"/>
      </w:rPr>
      <w:tab/>
      <w:t>MSCA - Austria</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9D62CA">
      <w:rPr>
        <w:noProof/>
        <w:sz w:val="18"/>
        <w:szCs w:val="18"/>
      </w:rPr>
      <w:t>8</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9D62CA">
      <w:rPr>
        <w:noProof/>
        <w:sz w:val="18"/>
        <w:szCs w:val="18"/>
      </w:rPr>
      <w:t>8</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398D" w14:textId="77777777" w:rsidR="00086412" w:rsidRDefault="00086412" w:rsidP="00471457">
      <w:r>
        <w:separator/>
      </w:r>
    </w:p>
  </w:footnote>
  <w:footnote w:type="continuationSeparator" w:id="0">
    <w:p w14:paraId="088BCA34" w14:textId="77777777" w:rsidR="00086412" w:rsidRDefault="00086412"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 w:id="2">
    <w:p w14:paraId="69D2171B" w14:textId="77777777" w:rsidR="00E94D45" w:rsidRPr="006B70A7" w:rsidRDefault="00E94D45" w:rsidP="00E94D45">
      <w:pPr>
        <w:pStyle w:val="FootnoteText"/>
      </w:pPr>
      <w:r>
        <w:rPr>
          <w:rStyle w:val="FootnoteReference"/>
        </w:rPr>
        <w:footnoteRef/>
      </w:r>
      <w:r w:rsidRPr="00DC03FE">
        <w:rPr>
          <w:sz w:val="16"/>
          <w:szCs w:val="16"/>
        </w:rPr>
        <w:t xml:space="preserve"> </w:t>
      </w:r>
      <w:hyperlink r:id="rId2" w:history="1">
        <w:r w:rsidRPr="00DC03FE">
          <w:rPr>
            <w:rStyle w:val="Hyperlink"/>
            <w:sz w:val="16"/>
            <w:szCs w:val="16"/>
          </w:rPr>
          <w:t>c63c93be-c901-864f-1d5a-9e21a35c81f8 (europa.eu)</w:t>
        </w:r>
      </w:hyperlink>
    </w:p>
  </w:footnote>
  <w:footnote w:id="3">
    <w:p w14:paraId="3BCD48F7" w14:textId="77777777" w:rsidR="00E94D45" w:rsidRPr="00B576C1" w:rsidRDefault="00E94D45" w:rsidP="00E94D45">
      <w:pPr>
        <w:pStyle w:val="FootnoteText"/>
        <w:rPr>
          <w:sz w:val="16"/>
          <w:szCs w:val="16"/>
        </w:rPr>
      </w:pPr>
      <w:r>
        <w:rPr>
          <w:rStyle w:val="FootnoteReference"/>
        </w:rPr>
        <w:footnoteRef/>
      </w:r>
      <w:r>
        <w:t xml:space="preserve"> </w:t>
      </w:r>
      <w:hyperlink r:id="rId3" w:history="1">
        <w:r w:rsidRPr="00B576C1">
          <w:rPr>
            <w:rStyle w:val="Hyperlink"/>
            <w:sz w:val="16"/>
            <w:szCs w:val="16"/>
          </w:rPr>
          <w:t>https://echa.europa.eu/documents/10162/02798d91-5265-8620-b42a-59e8701ab288</w:t>
        </w:r>
      </w:hyperlink>
    </w:p>
  </w:footnote>
  <w:footnote w:id="4">
    <w:p w14:paraId="4D75039F" w14:textId="77777777" w:rsidR="00E94D45" w:rsidRPr="00A963AE" w:rsidRDefault="00E94D45" w:rsidP="00E94D45">
      <w:pPr>
        <w:pStyle w:val="FootnoteText"/>
      </w:pPr>
      <w:r w:rsidRPr="00B576C1">
        <w:rPr>
          <w:rStyle w:val="FootnoteReference"/>
          <w:sz w:val="16"/>
          <w:szCs w:val="16"/>
        </w:rPr>
        <w:footnoteRef/>
      </w:r>
      <w:r w:rsidRPr="00B576C1">
        <w:rPr>
          <w:sz w:val="16"/>
          <w:szCs w:val="16"/>
        </w:rPr>
        <w:t xml:space="preserve"> </w:t>
      </w:r>
      <w:hyperlink r:id="rId4" w:history="1">
        <w:r w:rsidRPr="00B576C1">
          <w:rPr>
            <w:rStyle w:val="Hyperlink"/>
            <w:sz w:val="16"/>
            <w:szCs w:val="16"/>
          </w:rPr>
          <w:t>https://echa.europa.eu/documents/10162/e12106b0-ca86-dbcc-2373-b3c2329738a9</w:t>
        </w:r>
      </w:hyperlink>
    </w:p>
  </w:footnote>
  <w:footnote w:id="5">
    <w:p w14:paraId="1D18C713" w14:textId="77777777" w:rsidR="00E94D45" w:rsidRPr="001B0A8C" w:rsidRDefault="00E94D45" w:rsidP="00E94D45">
      <w:pPr>
        <w:pStyle w:val="FootnoteText"/>
        <w:rPr>
          <w:sz w:val="16"/>
          <w:szCs w:val="16"/>
        </w:rPr>
      </w:pPr>
      <w:r w:rsidRPr="001B0A8C">
        <w:rPr>
          <w:rStyle w:val="FootnoteReference"/>
          <w:sz w:val="16"/>
          <w:szCs w:val="16"/>
        </w:rPr>
        <w:footnoteRef/>
      </w:r>
      <w:r w:rsidRPr="001B0A8C">
        <w:rPr>
          <w:sz w:val="16"/>
          <w:szCs w:val="16"/>
        </w:rPr>
        <w:t xml:space="preserve"> S</w:t>
      </w:r>
      <w:r>
        <w:rPr>
          <w:sz w:val="16"/>
          <w:szCs w:val="16"/>
        </w:rPr>
        <w:t>Ev</w:t>
      </w:r>
      <w:r w:rsidRPr="001B0A8C">
        <w:rPr>
          <w:sz w:val="16"/>
          <w:szCs w:val="16"/>
        </w:rPr>
        <w:t xml:space="preserve"> Conclusion, 2020: </w:t>
      </w:r>
      <w:hyperlink r:id="rId5" w:history="1">
        <w:r w:rsidRPr="001B0A8C">
          <w:rPr>
            <w:rStyle w:val="Hyperlink"/>
            <w:sz w:val="16"/>
            <w:szCs w:val="16"/>
          </w:rPr>
          <w:t>c63c93be-c901-864f-1d5a-9e21a35c81f8 (europa.eu)</w:t>
        </w:r>
      </w:hyperlink>
    </w:p>
  </w:footnote>
  <w:footnote w:id="6">
    <w:p w14:paraId="3188F4C3" w14:textId="77777777" w:rsidR="00E627AA" w:rsidRPr="00B57C25" w:rsidRDefault="00E627AA" w:rsidP="00E627AA">
      <w:pPr>
        <w:pStyle w:val="FootnoteText"/>
        <w:rPr>
          <w:sz w:val="16"/>
          <w:szCs w:val="16"/>
        </w:rPr>
      </w:pPr>
      <w:r w:rsidRPr="00B57C25">
        <w:rPr>
          <w:rStyle w:val="FootnoteReference"/>
          <w:sz w:val="16"/>
          <w:szCs w:val="16"/>
        </w:rPr>
        <w:footnoteRef/>
      </w:r>
      <w:r w:rsidRPr="00B57C25">
        <w:rPr>
          <w:sz w:val="16"/>
          <w:szCs w:val="16"/>
        </w:rPr>
        <w:t xml:space="preserve"> </w:t>
      </w:r>
      <w:hyperlink r:id="rId6" w:history="1">
        <w:r w:rsidRPr="00B57C25">
          <w:rPr>
            <w:rStyle w:val="Hyperlink"/>
            <w:sz w:val="16"/>
            <w:szCs w:val="16"/>
          </w:rPr>
          <w:t>http://www.belgaqua.be/document/Positive%20List.pdf</w:t>
        </w:r>
      </w:hyperlink>
    </w:p>
  </w:footnote>
  <w:footnote w:id="7">
    <w:p w14:paraId="03A2899B" w14:textId="2317F01F" w:rsidR="00E94D45" w:rsidRPr="00F354CA" w:rsidRDefault="00E94D45" w:rsidP="00E94D45">
      <w:pPr>
        <w:pStyle w:val="FootnoteText"/>
        <w:rPr>
          <w:lang w:val="de-AT"/>
        </w:rPr>
      </w:pPr>
      <w:r w:rsidRPr="00161596">
        <w:rPr>
          <w:rStyle w:val="FootnoteReference"/>
        </w:rPr>
        <w:footnoteRef/>
      </w:r>
      <w:r w:rsidRPr="00161596">
        <w:rPr>
          <w:i/>
          <w:lang w:val="de-AT"/>
        </w:rPr>
        <w:t xml:space="preserve"> </w:t>
      </w:r>
      <w:r w:rsidRPr="005A55E7">
        <w:rPr>
          <w:sz w:val="16"/>
          <w:szCs w:val="16"/>
          <w:lang w:val="de-AT"/>
        </w:rPr>
        <w:t>Datenbank BfR-Empfehlungen zu Materialien für den Lebensmittelkontakt</w:t>
      </w:r>
      <w:r>
        <w:rPr>
          <w:sz w:val="16"/>
          <w:szCs w:val="16"/>
          <w:lang w:val="de-AT"/>
        </w:rPr>
        <w:t xml:space="preserve">: LI. </w:t>
      </w:r>
      <w:r w:rsidRPr="00161596">
        <w:rPr>
          <w:sz w:val="16"/>
          <w:szCs w:val="16"/>
          <w:lang w:val="de-AT"/>
        </w:rPr>
        <w:t xml:space="preserve">Temperaturbeständige Beschichtungssysteme aus Polymeren für Brat-, Koch- und Backgeräte als Komponente für Bindeharz (Polysulfon) </w:t>
      </w:r>
      <w:hyperlink r:id="rId7" w:history="1">
        <w:r w:rsidR="001A2E10" w:rsidRPr="006A5976">
          <w:rPr>
            <w:rStyle w:val="Hyperlink"/>
            <w:sz w:val="16"/>
            <w:szCs w:val="16"/>
            <w:lang w:val="de-AT"/>
          </w:rPr>
          <w:t>https://bfr.ble.de/kse/faces/resources/pdf/510.pdf;jsessionid=9C5033CAAFB132C331C25A32D29FC98D</w:t>
        </w:r>
      </w:hyperlink>
      <w:r w:rsidRPr="00E20E6F">
        <w:rPr>
          <w:sz w:val="16"/>
          <w:szCs w:val="16"/>
          <w:lang w:val="de-AT"/>
        </w:rPr>
        <w:t xml:space="preserve"> (</w:t>
      </w:r>
      <w:r>
        <w:rPr>
          <w:sz w:val="16"/>
          <w:szCs w:val="16"/>
          <w:lang w:val="de-AT"/>
        </w:rPr>
        <w:t>01.04.2022</w:t>
      </w:r>
      <w:r w:rsidRPr="00E20E6F">
        <w:rPr>
          <w:sz w:val="16"/>
          <w:szCs w:val="16"/>
          <w:lang w:val="de-AT"/>
        </w:rPr>
        <w:t>)</w:t>
      </w:r>
    </w:p>
    <w:p w14:paraId="0D85AF7E" w14:textId="77777777" w:rsidR="00E94D45" w:rsidRPr="00F354CA" w:rsidRDefault="00E94D45" w:rsidP="00E94D45">
      <w:pPr>
        <w:pStyle w:val="Footnote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1" w14:textId="6F856E18" w:rsidR="00E86372" w:rsidRPr="00375712" w:rsidRDefault="00A41F93" w:rsidP="00E86372">
    <w:pPr>
      <w:ind w:right="26"/>
      <w:rPr>
        <w:lang w:eastAsia="en-GB"/>
      </w:rPr>
    </w:pPr>
    <w:r w:rsidRPr="00A41F93">
      <w:rPr>
        <w:lang w:val="fr-FR"/>
      </w:rPr>
      <w:t>RMOA CONCLUSION DOCUMENT</w:t>
    </w:r>
    <w:r w:rsidR="00E94D45">
      <w:rPr>
        <w:lang w:val="fr-FR"/>
      </w:rPr>
      <w:t xml:space="preserve"> </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1746DD"/>
    <w:multiLevelType w:val="hybridMultilevel"/>
    <w:tmpl w:val="BAA618CC"/>
    <w:lvl w:ilvl="0" w:tplc="FF1EC46C">
      <w:start w:val="287"/>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4E0D2C"/>
    <w:multiLevelType w:val="hybridMultilevel"/>
    <w:tmpl w:val="AB0EE648"/>
    <w:lvl w:ilvl="0" w:tplc="0C070001">
      <w:start w:val="287"/>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10"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2"/>
  </w:num>
  <w:num w:numId="3">
    <w:abstractNumId w:val="5"/>
  </w:num>
  <w:num w:numId="4">
    <w:abstractNumId w:val="0"/>
  </w:num>
  <w:num w:numId="5">
    <w:abstractNumId w:val="3"/>
  </w:num>
  <w:num w:numId="6">
    <w:abstractNumId w:val="14"/>
  </w:num>
  <w:num w:numId="7">
    <w:abstractNumId w:val="1"/>
  </w:num>
  <w:num w:numId="8">
    <w:abstractNumId w:val="2"/>
  </w:num>
  <w:num w:numId="9">
    <w:abstractNumId w:val="8"/>
  </w:num>
  <w:num w:numId="10">
    <w:abstractNumId w:val="9"/>
  </w:num>
  <w:num w:numId="11">
    <w:abstractNumId w:val="11"/>
  </w:num>
  <w:num w:numId="12">
    <w:abstractNumId w:val="6"/>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activeWritingStyle w:appName="MSWord" w:lang="de-AT"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57"/>
    <w:rsid w:val="00002586"/>
    <w:rsid w:val="000042FA"/>
    <w:rsid w:val="0000560B"/>
    <w:rsid w:val="000122ED"/>
    <w:rsid w:val="0001476D"/>
    <w:rsid w:val="000204C4"/>
    <w:rsid w:val="00020976"/>
    <w:rsid w:val="00024D48"/>
    <w:rsid w:val="00037F48"/>
    <w:rsid w:val="00047BEE"/>
    <w:rsid w:val="00054356"/>
    <w:rsid w:val="000633BF"/>
    <w:rsid w:val="00063512"/>
    <w:rsid w:val="000711F7"/>
    <w:rsid w:val="00077E65"/>
    <w:rsid w:val="00086412"/>
    <w:rsid w:val="0009452D"/>
    <w:rsid w:val="000A3AEB"/>
    <w:rsid w:val="000D5B93"/>
    <w:rsid w:val="000E2FC2"/>
    <w:rsid w:val="000E4E5B"/>
    <w:rsid w:val="000E7032"/>
    <w:rsid w:val="0011142B"/>
    <w:rsid w:val="00112815"/>
    <w:rsid w:val="0011467E"/>
    <w:rsid w:val="001259BB"/>
    <w:rsid w:val="0012634F"/>
    <w:rsid w:val="00126494"/>
    <w:rsid w:val="001448AF"/>
    <w:rsid w:val="00144FCA"/>
    <w:rsid w:val="00166209"/>
    <w:rsid w:val="00183C4B"/>
    <w:rsid w:val="001915C8"/>
    <w:rsid w:val="001A1FEC"/>
    <w:rsid w:val="001A2E10"/>
    <w:rsid w:val="001C1F13"/>
    <w:rsid w:val="001E6C1A"/>
    <w:rsid w:val="00201A44"/>
    <w:rsid w:val="00202966"/>
    <w:rsid w:val="00205775"/>
    <w:rsid w:val="002163CF"/>
    <w:rsid w:val="00220442"/>
    <w:rsid w:val="00227B7E"/>
    <w:rsid w:val="00232075"/>
    <w:rsid w:val="002460BF"/>
    <w:rsid w:val="00256417"/>
    <w:rsid w:val="00262180"/>
    <w:rsid w:val="002650FC"/>
    <w:rsid w:val="00270FFE"/>
    <w:rsid w:val="0027431B"/>
    <w:rsid w:val="002920AC"/>
    <w:rsid w:val="00294316"/>
    <w:rsid w:val="002C515C"/>
    <w:rsid w:val="002C6ADA"/>
    <w:rsid w:val="002D0A2E"/>
    <w:rsid w:val="002D7699"/>
    <w:rsid w:val="002E3562"/>
    <w:rsid w:val="002E4026"/>
    <w:rsid w:val="002E4672"/>
    <w:rsid w:val="002F261C"/>
    <w:rsid w:val="00301950"/>
    <w:rsid w:val="003065EE"/>
    <w:rsid w:val="0032297A"/>
    <w:rsid w:val="00326F57"/>
    <w:rsid w:val="00332FF4"/>
    <w:rsid w:val="003363DA"/>
    <w:rsid w:val="00363833"/>
    <w:rsid w:val="0036659A"/>
    <w:rsid w:val="003746D1"/>
    <w:rsid w:val="003B32BD"/>
    <w:rsid w:val="003B4800"/>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39BD"/>
    <w:rsid w:val="004A5B50"/>
    <w:rsid w:val="004B10B4"/>
    <w:rsid w:val="004B48E4"/>
    <w:rsid w:val="004B63F1"/>
    <w:rsid w:val="004B7059"/>
    <w:rsid w:val="004C038F"/>
    <w:rsid w:val="004C7EF4"/>
    <w:rsid w:val="004D24E8"/>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575E6"/>
    <w:rsid w:val="00586832"/>
    <w:rsid w:val="00594EC4"/>
    <w:rsid w:val="00596A10"/>
    <w:rsid w:val="005A2AD2"/>
    <w:rsid w:val="005A75D3"/>
    <w:rsid w:val="005C3710"/>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B0ABD"/>
    <w:rsid w:val="006D39F4"/>
    <w:rsid w:val="006E2B7B"/>
    <w:rsid w:val="006E6B1A"/>
    <w:rsid w:val="006F6AE3"/>
    <w:rsid w:val="00705350"/>
    <w:rsid w:val="00713266"/>
    <w:rsid w:val="00741D90"/>
    <w:rsid w:val="00751518"/>
    <w:rsid w:val="00753065"/>
    <w:rsid w:val="00755D9F"/>
    <w:rsid w:val="00774DE9"/>
    <w:rsid w:val="00781EA6"/>
    <w:rsid w:val="00784A7F"/>
    <w:rsid w:val="0078730A"/>
    <w:rsid w:val="00791E13"/>
    <w:rsid w:val="007957E4"/>
    <w:rsid w:val="007A2C1C"/>
    <w:rsid w:val="007A39FF"/>
    <w:rsid w:val="007A3BA7"/>
    <w:rsid w:val="007B0208"/>
    <w:rsid w:val="007C0E6B"/>
    <w:rsid w:val="007C392B"/>
    <w:rsid w:val="007D3667"/>
    <w:rsid w:val="007D3F6A"/>
    <w:rsid w:val="007E6C05"/>
    <w:rsid w:val="007F0D03"/>
    <w:rsid w:val="00801152"/>
    <w:rsid w:val="0080484C"/>
    <w:rsid w:val="008166B6"/>
    <w:rsid w:val="00817B80"/>
    <w:rsid w:val="00821610"/>
    <w:rsid w:val="00833ACD"/>
    <w:rsid w:val="00835373"/>
    <w:rsid w:val="00835C68"/>
    <w:rsid w:val="00840BD5"/>
    <w:rsid w:val="00853E7D"/>
    <w:rsid w:val="00860FBA"/>
    <w:rsid w:val="00883931"/>
    <w:rsid w:val="008A1880"/>
    <w:rsid w:val="008C0CC7"/>
    <w:rsid w:val="008C5BBE"/>
    <w:rsid w:val="00920032"/>
    <w:rsid w:val="00922BBA"/>
    <w:rsid w:val="00930C01"/>
    <w:rsid w:val="00931CA7"/>
    <w:rsid w:val="00933335"/>
    <w:rsid w:val="00933AC5"/>
    <w:rsid w:val="009369B2"/>
    <w:rsid w:val="00947E44"/>
    <w:rsid w:val="00955691"/>
    <w:rsid w:val="00955D7A"/>
    <w:rsid w:val="00962549"/>
    <w:rsid w:val="0097054F"/>
    <w:rsid w:val="00980AC4"/>
    <w:rsid w:val="00980D2B"/>
    <w:rsid w:val="00983286"/>
    <w:rsid w:val="00983FBD"/>
    <w:rsid w:val="00985B7B"/>
    <w:rsid w:val="00986A52"/>
    <w:rsid w:val="009A4F2F"/>
    <w:rsid w:val="009B0296"/>
    <w:rsid w:val="009B4D5D"/>
    <w:rsid w:val="009C2172"/>
    <w:rsid w:val="009C590C"/>
    <w:rsid w:val="009C5A06"/>
    <w:rsid w:val="009D3C1E"/>
    <w:rsid w:val="009D45D1"/>
    <w:rsid w:val="009D62CA"/>
    <w:rsid w:val="009D6A1D"/>
    <w:rsid w:val="009E696B"/>
    <w:rsid w:val="009F191D"/>
    <w:rsid w:val="00A03E87"/>
    <w:rsid w:val="00A14C19"/>
    <w:rsid w:val="00A14EC1"/>
    <w:rsid w:val="00A2487E"/>
    <w:rsid w:val="00A25BED"/>
    <w:rsid w:val="00A263C9"/>
    <w:rsid w:val="00A41F93"/>
    <w:rsid w:val="00A429E9"/>
    <w:rsid w:val="00A4316B"/>
    <w:rsid w:val="00A436BB"/>
    <w:rsid w:val="00A446BC"/>
    <w:rsid w:val="00A45B6C"/>
    <w:rsid w:val="00A518AA"/>
    <w:rsid w:val="00A54C28"/>
    <w:rsid w:val="00A75ACF"/>
    <w:rsid w:val="00A80DBE"/>
    <w:rsid w:val="00AB0322"/>
    <w:rsid w:val="00AB1228"/>
    <w:rsid w:val="00AC5ED0"/>
    <w:rsid w:val="00AC7509"/>
    <w:rsid w:val="00AC79ED"/>
    <w:rsid w:val="00AD40AE"/>
    <w:rsid w:val="00AE2396"/>
    <w:rsid w:val="00AF5158"/>
    <w:rsid w:val="00AF63F4"/>
    <w:rsid w:val="00AF6E00"/>
    <w:rsid w:val="00AF7287"/>
    <w:rsid w:val="00AF77F1"/>
    <w:rsid w:val="00AF7B6D"/>
    <w:rsid w:val="00B03339"/>
    <w:rsid w:val="00B2524D"/>
    <w:rsid w:val="00B32C2E"/>
    <w:rsid w:val="00B37A42"/>
    <w:rsid w:val="00B66083"/>
    <w:rsid w:val="00B92E74"/>
    <w:rsid w:val="00BB0CE8"/>
    <w:rsid w:val="00BB3275"/>
    <w:rsid w:val="00BB4EF3"/>
    <w:rsid w:val="00BC35A3"/>
    <w:rsid w:val="00BC5A7C"/>
    <w:rsid w:val="00BE1CEB"/>
    <w:rsid w:val="00BE5AF4"/>
    <w:rsid w:val="00BF5819"/>
    <w:rsid w:val="00BF63C3"/>
    <w:rsid w:val="00C0335E"/>
    <w:rsid w:val="00C0431D"/>
    <w:rsid w:val="00C0654A"/>
    <w:rsid w:val="00C32CBD"/>
    <w:rsid w:val="00C411EC"/>
    <w:rsid w:val="00C42DBF"/>
    <w:rsid w:val="00C52D40"/>
    <w:rsid w:val="00C54EBC"/>
    <w:rsid w:val="00C55123"/>
    <w:rsid w:val="00C629E5"/>
    <w:rsid w:val="00C70B2B"/>
    <w:rsid w:val="00C74112"/>
    <w:rsid w:val="00C94F53"/>
    <w:rsid w:val="00C95875"/>
    <w:rsid w:val="00CB1FBE"/>
    <w:rsid w:val="00CB730C"/>
    <w:rsid w:val="00CC7A9E"/>
    <w:rsid w:val="00CE07AB"/>
    <w:rsid w:val="00CE2CAA"/>
    <w:rsid w:val="00CE5346"/>
    <w:rsid w:val="00D00E35"/>
    <w:rsid w:val="00D03326"/>
    <w:rsid w:val="00D11FC2"/>
    <w:rsid w:val="00D37806"/>
    <w:rsid w:val="00D462BD"/>
    <w:rsid w:val="00D5375D"/>
    <w:rsid w:val="00D53A3D"/>
    <w:rsid w:val="00D61F8B"/>
    <w:rsid w:val="00D70C76"/>
    <w:rsid w:val="00D87813"/>
    <w:rsid w:val="00DA17E4"/>
    <w:rsid w:val="00DA5A25"/>
    <w:rsid w:val="00DA6B85"/>
    <w:rsid w:val="00DB0024"/>
    <w:rsid w:val="00DC1F12"/>
    <w:rsid w:val="00DD1882"/>
    <w:rsid w:val="00DE6A1C"/>
    <w:rsid w:val="00E14856"/>
    <w:rsid w:val="00E36635"/>
    <w:rsid w:val="00E464B0"/>
    <w:rsid w:val="00E55E07"/>
    <w:rsid w:val="00E627AA"/>
    <w:rsid w:val="00E702C1"/>
    <w:rsid w:val="00E71C79"/>
    <w:rsid w:val="00E85A6B"/>
    <w:rsid w:val="00E86372"/>
    <w:rsid w:val="00E94D45"/>
    <w:rsid w:val="00E95412"/>
    <w:rsid w:val="00EA326C"/>
    <w:rsid w:val="00EA6BD2"/>
    <w:rsid w:val="00EA7CF9"/>
    <w:rsid w:val="00EB3299"/>
    <w:rsid w:val="00ED048E"/>
    <w:rsid w:val="00ED10AD"/>
    <w:rsid w:val="00ED3E74"/>
    <w:rsid w:val="00ED55A6"/>
    <w:rsid w:val="00ED5761"/>
    <w:rsid w:val="00EE475E"/>
    <w:rsid w:val="00F145F2"/>
    <w:rsid w:val="00F154FB"/>
    <w:rsid w:val="00F4442B"/>
    <w:rsid w:val="00F503E3"/>
    <w:rsid w:val="00F515ED"/>
    <w:rsid w:val="00F545EA"/>
    <w:rsid w:val="00F57736"/>
    <w:rsid w:val="00F67BB5"/>
    <w:rsid w:val="00F826BC"/>
    <w:rsid w:val="00F92D91"/>
    <w:rsid w:val="00FA4598"/>
    <w:rsid w:val="00FB30A3"/>
    <w:rsid w:val="00FB4C3F"/>
    <w:rsid w:val="00FC3640"/>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53996"/>
  <w15:docId w15:val="{406EA4CB-3139-4701-8BD1-423DB0CD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aliases w:val="Footnote Text Char Char,Geneva 9,Font: Geneva 9,Boston 10,f"/>
    <w:basedOn w:val="Normal"/>
    <w:link w:val="FootnoteTextChar"/>
    <w:uiPriority w:val="99"/>
    <w:qFormat/>
    <w:rsid w:val="00471457"/>
  </w:style>
  <w:style w:type="character" w:customStyle="1" w:styleId="FootnoteTextChar">
    <w:name w:val="Footnote Text Char"/>
    <w:aliases w:val="Footnote Text Char Char Char,Geneva 9 Char,Font: Geneva 9 Char,Boston 10 Char,f Char"/>
    <w:basedOn w:val="DefaultParagraphFont"/>
    <w:link w:val="FootnoteText"/>
    <w:uiPriority w:val="99"/>
    <w:rsid w:val="00471457"/>
    <w:rPr>
      <w:rFonts w:ascii="Verdana" w:eastAsia="Times New Roman" w:hAnsi="Verdana" w:cs="Times New Roman"/>
      <w:snapToGrid w:val="0"/>
      <w:sz w:val="20"/>
      <w:szCs w:val="20"/>
      <w:lang w:eastAsia="fi-FI"/>
    </w:rPr>
  </w:style>
  <w:style w:type="character" w:styleId="FootnoteReference">
    <w:name w:val="footnote reference"/>
    <w:aliases w:val="Footnote,Footnote Reference/,16 Point,Superscript 6 Point"/>
    <w:uiPriority w:val="99"/>
    <w:qFormat/>
    <w:rsid w:val="00471457"/>
    <w:rPr>
      <w:vertAlign w:val="superscript"/>
    </w:rPr>
  </w:style>
  <w:style w:type="paragraph" w:styleId="ListParagraph">
    <w:name w:val="List Paragraph"/>
    <w:basedOn w:val="Normal"/>
    <w:uiPriority w:val="34"/>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Caption">
    <w:name w:val="caption"/>
    <w:aliases w:val="Caption Table"/>
    <w:next w:val="BodyText"/>
    <w:link w:val="CaptionChar"/>
    <w:qFormat/>
    <w:rsid w:val="00E94D45"/>
    <w:pPr>
      <w:keepNext/>
      <w:spacing w:before="120" w:after="90" w:line="240" w:lineRule="auto"/>
      <w:ind w:left="57"/>
    </w:pPr>
    <w:rPr>
      <w:rFonts w:ascii="Times New Roman Bold" w:eastAsia="Times New Roman" w:hAnsi="Times New Roman Bold" w:cs="Times New Roman"/>
      <w:bCs/>
      <w:sz w:val="24"/>
      <w:szCs w:val="20"/>
    </w:rPr>
  </w:style>
  <w:style w:type="table" w:styleId="TableGrid">
    <w:name w:val="Table Grid"/>
    <w:aliases w:val="Document Table,Table Grid IDEA,TabelEcorys,HTG,ECORYS Tabela"/>
    <w:basedOn w:val="TableNormal"/>
    <w:uiPriority w:val="99"/>
    <w:rsid w:val="00E94D45"/>
    <w:pPr>
      <w:spacing w:after="18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Table Char"/>
    <w:link w:val="Caption"/>
    <w:rsid w:val="00E94D45"/>
    <w:rPr>
      <w:rFonts w:ascii="Times New Roman Bold" w:eastAsia="Times New Roman" w:hAnsi="Times New Roman Bold" w:cs="Times New Roman"/>
      <w:bCs/>
      <w:sz w:val="24"/>
      <w:szCs w:val="20"/>
    </w:rPr>
  </w:style>
  <w:style w:type="paragraph" w:customStyle="1" w:styleId="Default">
    <w:name w:val="Default"/>
    <w:rsid w:val="00E94D4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TMLPreformatted">
    <w:name w:val="HTML Preformatted"/>
    <w:basedOn w:val="Normal"/>
    <w:link w:val="HTMLPreformattedChar"/>
    <w:uiPriority w:val="99"/>
    <w:unhideWhenUsed/>
    <w:rsid w:val="00E94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de-AT" w:eastAsia="de-AT"/>
    </w:rPr>
  </w:style>
  <w:style w:type="character" w:customStyle="1" w:styleId="HTMLPreformattedChar">
    <w:name w:val="HTML Preformatted Char"/>
    <w:basedOn w:val="DefaultParagraphFont"/>
    <w:link w:val="HTMLPreformatted"/>
    <w:uiPriority w:val="99"/>
    <w:rsid w:val="00E94D45"/>
    <w:rPr>
      <w:rFonts w:ascii="Courier New" w:eastAsia="Times New Roman" w:hAnsi="Courier New" w:cs="Courier New"/>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ocuments/10162/02798d91-5265-8620-b42a-59e8701ab288" TargetMode="External"/><Relationship Id="rId7" Type="http://schemas.openxmlformats.org/officeDocument/2006/relationships/hyperlink" Target="https://bfr.ble.de/kse/faces/resources/pdf/510.pdf;jsessionid=9C5033CAAFB132C331C25A32D29FC98D" TargetMode="External"/><Relationship Id="rId2" Type="http://schemas.openxmlformats.org/officeDocument/2006/relationships/hyperlink" Target="https://echa.europa.eu/documents/10162/c63c93be-c901-864f-1d5a-9e21a35c81f8" TargetMode="External"/><Relationship Id="rId1" Type="http://schemas.openxmlformats.org/officeDocument/2006/relationships/hyperlink" Target="http://echa.europa.eu/addressing-chemicals-of-concern/substances-of-potential-concern/svhc-roadmap-to-2020-implementation" TargetMode="External"/><Relationship Id="rId6" Type="http://schemas.openxmlformats.org/officeDocument/2006/relationships/hyperlink" Target="http://www.belgaqua.be/document/Positive%20List.pdf" TargetMode="External"/><Relationship Id="rId5" Type="http://schemas.openxmlformats.org/officeDocument/2006/relationships/hyperlink" Target="https://echa.europa.eu/documents/10162/c63c93be-c901-864f-1d5a-9e21a35c81f8" TargetMode="External"/><Relationship Id="rId4" Type="http://schemas.openxmlformats.org/officeDocument/2006/relationships/hyperlink" Target="https://echa.europa.eu/documents/10162/e12106b0-ca86-dbcc-2373-b3c232973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2.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4.xml><?xml version="1.0" encoding="utf-8"?>
<ds:datastoreItem xmlns:ds="http://schemas.openxmlformats.org/officeDocument/2006/customXml" ds:itemID="{FB8C6060-E70E-4A37-913A-A00BF7D052E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4811b924-dee2-413a-bdc8-2cc023473c17"/>
    <ds:schemaRef ds:uri="http://schemas.openxmlformats.org/package/2006/metadata/core-properties"/>
    <ds:schemaRef ds:uri="b80ede5c-af4c-4bf2-9a87-706a3579dc11"/>
    <ds:schemaRef ds:uri="http://www.w3.org/XML/1998/namespace"/>
    <ds:schemaRef ds:uri="http://purl.org/dc/dcmitype/"/>
  </ds:schemaRefs>
</ds:datastoreItem>
</file>

<file path=customXml/itemProps5.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6.xml><?xml version="1.0" encoding="utf-8"?>
<ds:datastoreItem xmlns:ds="http://schemas.openxmlformats.org/officeDocument/2006/customXml" ds:itemID="{04605EDD-3FEE-48D7-A351-2E9CBDDA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2046</Words>
  <Characters>11664</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Chemicals Agency</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CLENAGHAN Conor</dc:creator>
  <cp:lastModifiedBy>SUOMELA Sanna</cp:lastModifiedBy>
  <cp:revision>2</cp:revision>
  <cp:lastPrinted>2022-09-06T11:36:00Z</cp:lastPrinted>
  <dcterms:created xsi:type="dcterms:W3CDTF">2022-09-21T09:56:00Z</dcterms:created>
  <dcterms:modified xsi:type="dcterms:W3CDTF">2022-09-21T09:56:00Z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