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53996" w14:textId="77777777" w:rsidR="00F57736" w:rsidRPr="003016DF" w:rsidRDefault="00E86372" w:rsidP="00F57736">
      <w:r>
        <w:rPr>
          <w:rFonts w:eastAsiaTheme="minorHAnsi"/>
          <w:noProof/>
          <w:szCs w:val="24"/>
          <w:lang w:eastAsia="en-GB"/>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C" w14:textId="23D591E1" w:rsidR="00E86372" w:rsidRDefault="00FA1E03" w:rsidP="00E86372">
                            <w:pPr>
                              <w:rPr>
                                <w:color w:val="4F81BD" w:themeColor="accent1"/>
                              </w:rPr>
                            </w:pPr>
                            <w:r w:rsidRPr="00FA1E03">
                              <w:rPr>
                                <w:noProof/>
                                <w:lang w:eastAsia="en-GB"/>
                              </w:rPr>
                              <w:drawing>
                                <wp:inline distT="0" distB="0" distL="0" distR="0" wp14:anchorId="7B35EA99" wp14:editId="65D57D16">
                                  <wp:extent cx="2392680" cy="86096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5791" cy="883671"/>
                                          </a:xfrm>
                                          <a:prstGeom prst="rect">
                                            <a:avLst/>
                                          </a:prstGeom>
                                          <a:noFill/>
                                          <a:ln>
                                            <a:noFill/>
                                          </a:ln>
                                        </pic:spPr>
                                      </pic:pic>
                                    </a:graphicData>
                                  </a:graphic>
                                </wp:inline>
                              </w:drawing>
                            </w:r>
                          </w:p>
                          <w:p w14:paraId="68353A6D" w14:textId="77777777" w:rsidR="00E86372" w:rsidRDefault="00E86372" w:rsidP="00E86372">
                            <w:pPr>
                              <w:rPr>
                                <w:color w:val="4F81BD" w:themeColor="accent1"/>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C" w14:textId="23D591E1" w:rsidR="00E86372" w:rsidRDefault="00FA1E03" w:rsidP="00E86372">
                      <w:pPr>
                        <w:rPr>
                          <w:color w:val="4F81BD" w:themeColor="accent1"/>
                        </w:rPr>
                      </w:pPr>
                      <w:r w:rsidRPr="00FA1E03">
                        <w:rPr>
                          <w:noProof/>
                          <w:lang w:eastAsia="en-GB"/>
                        </w:rPr>
                        <w:drawing>
                          <wp:inline distT="0" distB="0" distL="0" distR="0" wp14:anchorId="7B35EA99" wp14:editId="65D57D16">
                            <wp:extent cx="2392680" cy="86096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5791" cy="883671"/>
                                    </a:xfrm>
                                    <a:prstGeom prst="rect">
                                      <a:avLst/>
                                    </a:prstGeom>
                                    <a:noFill/>
                                    <a:ln>
                                      <a:noFill/>
                                    </a:ln>
                                  </pic:spPr>
                                </pic:pic>
                              </a:graphicData>
                            </a:graphic>
                          </wp:inline>
                        </w:drawing>
                      </w:r>
                    </w:p>
                    <w:p w14:paraId="68353A6D" w14:textId="77777777" w:rsidR="00E86372" w:rsidRDefault="00E86372" w:rsidP="00E86372">
                      <w:pPr>
                        <w:rPr>
                          <w:color w:val="4F81BD" w:themeColor="accent1"/>
                        </w:rPr>
                      </w:pP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683539A4" w14:textId="30D8955F" w:rsidR="00E86372" w:rsidRPr="00937276" w:rsidRDefault="00E86372" w:rsidP="00E86372">
      <w:pPr>
        <w:pStyle w:val="BodyText"/>
      </w:pPr>
      <w:r>
        <w:rPr>
          <w:b/>
        </w:rPr>
        <w:t>Substance Name</w:t>
      </w:r>
      <w:r w:rsidRPr="003607CA">
        <w:rPr>
          <w:b/>
        </w:rPr>
        <w:t>:</w:t>
      </w:r>
      <w:r w:rsidR="00FA1E03" w:rsidRPr="00FA1E03">
        <w:t xml:space="preserve"> </w:t>
      </w:r>
      <w:r w:rsidR="00FA1E03" w:rsidRPr="00FA1E03">
        <w:rPr>
          <w:b/>
        </w:rPr>
        <w:t>Alkanes, C14-17, chloro</w:t>
      </w:r>
    </w:p>
    <w:p w14:paraId="683539A5" w14:textId="24721869" w:rsidR="00E86372" w:rsidRPr="00937276" w:rsidRDefault="00E86372" w:rsidP="00E86372">
      <w:pPr>
        <w:pStyle w:val="BodyText"/>
      </w:pPr>
      <w:r w:rsidRPr="003607CA">
        <w:rPr>
          <w:b/>
        </w:rPr>
        <w:t>EC Number:</w:t>
      </w:r>
      <w:r w:rsidR="00FA1E03" w:rsidRPr="00FA1E03">
        <w:t xml:space="preserve"> </w:t>
      </w:r>
      <w:r w:rsidR="00FA1E03" w:rsidRPr="00FA1E03">
        <w:rPr>
          <w:b/>
        </w:rPr>
        <w:t>287-477-0</w:t>
      </w:r>
    </w:p>
    <w:p w14:paraId="683539A6" w14:textId="6E8D6568" w:rsidR="00E86372" w:rsidRPr="00937276" w:rsidRDefault="00E86372" w:rsidP="00E86372">
      <w:pPr>
        <w:pStyle w:val="BodyText"/>
        <w:rPr>
          <w:sz w:val="32"/>
        </w:rPr>
      </w:pPr>
      <w:r w:rsidRPr="003607CA">
        <w:rPr>
          <w:b/>
        </w:rPr>
        <w:t>CAS Number:</w:t>
      </w:r>
      <w:r w:rsidR="00FA1E03" w:rsidRPr="00FA1E03">
        <w:t xml:space="preserve"> </w:t>
      </w:r>
      <w:r w:rsidR="00FA1E03" w:rsidRPr="00FA1E03">
        <w:rPr>
          <w:b/>
        </w:rPr>
        <w:t>85535-85-9</w:t>
      </w:r>
    </w:p>
    <w:p w14:paraId="683539A7" w14:textId="77777777" w:rsidR="00E86372" w:rsidRDefault="00E86372" w:rsidP="00E86372">
      <w:pPr>
        <w:pStyle w:val="BodyText"/>
        <w:rPr>
          <w:b/>
          <w:sz w:val="32"/>
        </w:rPr>
      </w:pPr>
    </w:p>
    <w:p w14:paraId="683539A8" w14:textId="41783992" w:rsidR="00E86372" w:rsidRDefault="00E86372" w:rsidP="00E86372">
      <w:pPr>
        <w:pStyle w:val="BodyText"/>
        <w:rPr>
          <w:b/>
          <w:sz w:val="32"/>
        </w:rPr>
      </w:pPr>
      <w:r w:rsidRPr="006119A2">
        <w:rPr>
          <w:b/>
        </w:rPr>
        <w:t>Authority:</w:t>
      </w:r>
      <w:r w:rsidR="00FA1E03">
        <w:rPr>
          <w:b/>
        </w:rPr>
        <w:t xml:space="preserve"> United Kingdom</w:t>
      </w:r>
    </w:p>
    <w:p w14:paraId="683539A9" w14:textId="19416F5B" w:rsidR="00E86372" w:rsidRDefault="00E86372" w:rsidP="00E86372">
      <w:pPr>
        <w:pStyle w:val="BodyText"/>
        <w:rPr>
          <w:b/>
        </w:rPr>
      </w:pPr>
      <w:r w:rsidRPr="003607CA">
        <w:rPr>
          <w:b/>
        </w:rPr>
        <w:t>Date:</w:t>
      </w:r>
      <w:r w:rsidR="00FA1E03">
        <w:rPr>
          <w:b/>
        </w:rPr>
        <w:t xml:space="preserve"> </w:t>
      </w:r>
      <w:r w:rsidR="00BD1771">
        <w:rPr>
          <w:b/>
        </w:rPr>
        <w:t xml:space="preserve"> November</w:t>
      </w:r>
      <w:r w:rsidR="00FA1E03">
        <w:rPr>
          <w:b/>
        </w:rPr>
        <w:t xml:space="preserve"> 2019</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D34E8F">
      <w:pPr>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47B16ECA" w14:textId="65C656B6" w:rsidR="00FA1E03" w:rsidRDefault="008F6D62" w:rsidP="00FA1E03">
      <w:pPr>
        <w:widowControl/>
        <w:spacing w:after="240"/>
        <w:jc w:val="both"/>
        <w:rPr>
          <w:snapToGrid/>
          <w:lang w:eastAsia="en-US"/>
        </w:rPr>
      </w:pPr>
      <w:r>
        <w:rPr>
          <w:snapToGrid/>
          <w:lang w:eastAsia="en-US"/>
        </w:rPr>
        <w:t>Medium-chain chlorinated paraffins (</w:t>
      </w:r>
      <w:r w:rsidR="00FA1E03" w:rsidRPr="00FA1E03">
        <w:rPr>
          <w:snapToGrid/>
          <w:lang w:eastAsia="en-US"/>
        </w:rPr>
        <w:t>MCCPs</w:t>
      </w:r>
      <w:r>
        <w:rPr>
          <w:snapToGrid/>
          <w:lang w:eastAsia="en-US"/>
        </w:rPr>
        <w:t>)</w:t>
      </w:r>
      <w:r w:rsidR="00FA1E03" w:rsidRPr="00FA1E03">
        <w:rPr>
          <w:snapToGrid/>
          <w:lang w:eastAsia="en-US"/>
        </w:rPr>
        <w:t xml:space="preserve"> </w:t>
      </w:r>
      <w:r w:rsidR="00FA1E03">
        <w:rPr>
          <w:snapToGrid/>
          <w:lang w:eastAsia="en-US"/>
        </w:rPr>
        <w:t xml:space="preserve">was </w:t>
      </w:r>
      <w:r w:rsidR="00FA1E03" w:rsidRPr="00FA1E03">
        <w:rPr>
          <w:snapToGrid/>
          <w:lang w:eastAsia="en-US"/>
        </w:rPr>
        <w:t>included in the first Community Rolling Action Plan under the REACH Regulation</w:t>
      </w:r>
      <w:r w:rsidR="00FA1E03">
        <w:rPr>
          <w:snapToGrid/>
          <w:lang w:eastAsia="en-US"/>
        </w:rPr>
        <w:t>.</w:t>
      </w:r>
      <w:r w:rsidR="00FA1E03" w:rsidRPr="00FA1E03">
        <w:rPr>
          <w:snapToGrid/>
          <w:lang w:eastAsia="en-US"/>
        </w:rPr>
        <w:t xml:space="preserve"> The UK CA has now completed its Substance Evaluation, and conclude</w:t>
      </w:r>
      <w:r w:rsidR="00A84F22">
        <w:rPr>
          <w:snapToGrid/>
          <w:lang w:eastAsia="en-US"/>
        </w:rPr>
        <w:t>s</w:t>
      </w:r>
      <w:r w:rsidR="00FA1E03" w:rsidRPr="00FA1E03">
        <w:rPr>
          <w:snapToGrid/>
          <w:lang w:eastAsia="en-US"/>
        </w:rPr>
        <w:t xml:space="preserve"> that MCCPs has PBT (and probably vPvB) properties. REACH calls for minimisation of emissions </w:t>
      </w:r>
      <w:r w:rsidR="00131F24">
        <w:rPr>
          <w:snapToGrid/>
          <w:lang w:eastAsia="en-US"/>
        </w:rPr>
        <w:t xml:space="preserve">of, </w:t>
      </w:r>
      <w:r w:rsidR="00FA1E03" w:rsidRPr="00FA1E03">
        <w:rPr>
          <w:snapToGrid/>
          <w:lang w:eastAsia="en-US"/>
        </w:rPr>
        <w:t xml:space="preserve">and exposures </w:t>
      </w:r>
      <w:r w:rsidR="00131F24">
        <w:rPr>
          <w:snapToGrid/>
          <w:lang w:eastAsia="en-US"/>
        </w:rPr>
        <w:t>t</w:t>
      </w:r>
      <w:r w:rsidR="00FA1E03" w:rsidRPr="00FA1E03">
        <w:rPr>
          <w:snapToGrid/>
          <w:lang w:eastAsia="en-US"/>
        </w:rPr>
        <w:t>o</w:t>
      </w:r>
      <w:r w:rsidR="00131F24">
        <w:rPr>
          <w:snapToGrid/>
          <w:lang w:eastAsia="en-US"/>
        </w:rPr>
        <w:t>,</w:t>
      </w:r>
      <w:r w:rsidR="00FA1E03" w:rsidRPr="00FA1E03">
        <w:rPr>
          <w:snapToGrid/>
          <w:lang w:eastAsia="en-US"/>
        </w:rPr>
        <w:t xml:space="preserve"> PBT</w:t>
      </w:r>
      <w:r w:rsidR="00A84F22">
        <w:rPr>
          <w:snapToGrid/>
          <w:lang w:eastAsia="en-US"/>
        </w:rPr>
        <w:t>/vPvB</w:t>
      </w:r>
      <w:r w:rsidR="00FA1E03" w:rsidRPr="00FA1E03">
        <w:rPr>
          <w:snapToGrid/>
          <w:lang w:eastAsia="en-US"/>
        </w:rPr>
        <w:t xml:space="preserve"> substances as far as technically and practically possible (recital 70). The purpose of th</w:t>
      </w:r>
      <w:r w:rsidR="00131F24">
        <w:rPr>
          <w:snapToGrid/>
          <w:lang w:eastAsia="en-US"/>
        </w:rPr>
        <w:t>e</w:t>
      </w:r>
      <w:r w:rsidR="00FA1E03" w:rsidRPr="00FA1E03">
        <w:rPr>
          <w:snapToGrid/>
          <w:lang w:eastAsia="en-US"/>
        </w:rPr>
        <w:t xml:space="preserve"> Risk Management Options Analysis (RMOA) is, therefore, to review the available evidence to determine what additional regulatory actions, if any, are required to minimise releases of MCCPs to the environment and the form that these measures could take. </w:t>
      </w:r>
      <w:r w:rsidR="00A84F22">
        <w:rPr>
          <w:snapToGrid/>
          <w:lang w:eastAsia="en-US"/>
        </w:rPr>
        <w:t xml:space="preserve">Previous work under the Existing Substances Regulation (and transitional activities) </w:t>
      </w:r>
      <w:r w:rsidR="00FA1E03" w:rsidRPr="00FA1E03">
        <w:rPr>
          <w:snapToGrid/>
          <w:lang w:eastAsia="en-US"/>
        </w:rPr>
        <w:t xml:space="preserve">did not identify a need for further action to address human health risks, </w:t>
      </w:r>
      <w:r w:rsidR="00131F24">
        <w:rPr>
          <w:snapToGrid/>
          <w:lang w:eastAsia="en-US"/>
        </w:rPr>
        <w:t xml:space="preserve">so </w:t>
      </w:r>
      <w:r w:rsidR="00FA1E03" w:rsidRPr="00FA1E03">
        <w:rPr>
          <w:snapToGrid/>
          <w:lang w:eastAsia="en-US"/>
        </w:rPr>
        <w:t>the RMOA does not consider measures to protect human health.</w:t>
      </w:r>
    </w:p>
    <w:p w14:paraId="48299EE7" w14:textId="22D0F753" w:rsidR="00247925" w:rsidRPr="00FA1E03" w:rsidRDefault="00247925" w:rsidP="00FA1E03">
      <w:pPr>
        <w:widowControl/>
        <w:spacing w:after="240"/>
        <w:jc w:val="both"/>
        <w:rPr>
          <w:snapToGrid/>
          <w:lang w:eastAsia="en-US"/>
        </w:rPr>
      </w:pPr>
      <w:r>
        <w:rPr>
          <w:snapToGrid/>
          <w:lang w:eastAsia="en-US"/>
        </w:rPr>
        <w:t>Sweden</w:t>
      </w:r>
      <w:r w:rsidR="008F6D62">
        <w:rPr>
          <w:snapToGrid/>
          <w:lang w:eastAsia="en-US"/>
        </w:rPr>
        <w:t xml:space="preserve"> has submitted a </w:t>
      </w:r>
      <w:r w:rsidR="007F3ACB">
        <w:rPr>
          <w:bCs/>
        </w:rPr>
        <w:t xml:space="preserve">proposal to add MCCPs to </w:t>
      </w:r>
      <w:r w:rsidR="007F3ACB" w:rsidRPr="001B0749">
        <w:t>the Restriction of the Use of Certain Hazardous Substances (RoHS) in Electrical and Electronic Equipment (EEE) Directive (2011/65/EU)</w:t>
      </w:r>
      <w:r>
        <w:rPr>
          <w:snapToGrid/>
          <w:lang w:eastAsia="en-US"/>
        </w:rPr>
        <w:t>.</w:t>
      </w:r>
    </w:p>
    <w:p w14:paraId="683539CC" w14:textId="77777777" w:rsidR="00BE5AF4" w:rsidRPr="000711F7" w:rsidRDefault="00BE5AF4" w:rsidP="00BE5AF4">
      <w:pPr>
        <w:pStyle w:val="Heading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D34E8F">
      <w:pPr>
        <w:jc w:val="both"/>
      </w:pPr>
      <w:r w:rsidRPr="00D53A3D">
        <w:t>This conclusion is based on the REACH and CLP data as well as other available relevant information taking into account the SVHC Roadmap to 2020, where appropriate.</w:t>
      </w:r>
    </w:p>
    <w:p w14:paraId="683539CE" w14:textId="77777777" w:rsidR="00D37806" w:rsidRDefault="00D37806" w:rsidP="00FB30A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5F450008" w:rsidR="00B2524D" w:rsidRPr="00B2524D" w:rsidRDefault="00247925" w:rsidP="00B2524D">
            <w:pPr>
              <w:jc w:val="center"/>
            </w:pPr>
            <w:r>
              <w:sym w:font="Wingdings 2" w:char="F050"/>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47889B66" w:rsidR="00B2524D" w:rsidRPr="00B2524D" w:rsidRDefault="00247925" w:rsidP="00B2524D">
            <w:r>
              <w:t xml:space="preserve">    </w:t>
            </w:r>
            <w:r>
              <w:sym w:font="Wingdings 2" w:char="F050"/>
            </w:r>
          </w:p>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A02" w14:textId="77777777" w:rsidR="00A446BC" w:rsidRPr="006E3CBA" w:rsidRDefault="00A446BC" w:rsidP="00471457"/>
    <w:p w14:paraId="68353A04" w14:textId="10ED0481" w:rsidR="00471457" w:rsidRPr="000711F7" w:rsidRDefault="00AF77F1" w:rsidP="00AF77F1">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08" w14:textId="3E03C33C" w:rsidR="003C3793" w:rsidRDefault="00A84F22" w:rsidP="00D34E8F">
      <w:pPr>
        <w:jc w:val="both"/>
      </w:pPr>
      <w:r>
        <w:t>T</w:t>
      </w:r>
      <w:r w:rsidR="00131F24">
        <w:t xml:space="preserve">he UK CA has concluded that MCCPs </w:t>
      </w:r>
      <w:r>
        <w:t>has</w:t>
      </w:r>
      <w:r w:rsidR="00131F24">
        <w:t xml:space="preserve"> PBT/vPvB</w:t>
      </w:r>
      <w:r>
        <w:t xml:space="preserve"> properties</w:t>
      </w:r>
      <w:r w:rsidR="00131F24">
        <w:t xml:space="preserve">. </w:t>
      </w:r>
      <w:r w:rsidR="00D4143D">
        <w:t>This is not,</w:t>
      </w:r>
      <w:r w:rsidR="00356EAE">
        <w:t xml:space="preserve"> </w:t>
      </w:r>
      <w:r w:rsidR="00D4143D">
        <w:t>by itself, sufficient to trigger minimisation of</w:t>
      </w:r>
      <w:r w:rsidR="00356EAE">
        <w:t xml:space="preserve"> emissions</w:t>
      </w:r>
      <w:r w:rsidR="00D4143D">
        <w:t xml:space="preserve"> </w:t>
      </w:r>
      <w:r w:rsidR="0007273B">
        <w:t>and exposure</w:t>
      </w:r>
      <w:r w:rsidR="00356EAE">
        <w:t xml:space="preserve">. </w:t>
      </w:r>
      <w:r w:rsidR="007F3ACB">
        <w:rPr>
          <w:bCs/>
        </w:rPr>
        <w:t>The r</w:t>
      </w:r>
      <w:r w:rsidR="007F3ACB">
        <w:t>egistrants’ Chemical Safety Reports (CSR</w:t>
      </w:r>
      <w:r w:rsidR="00D34E8F">
        <w:t>s</w:t>
      </w:r>
      <w:r w:rsidR="007F3ACB">
        <w:t>) assess environmental risk on the basis of PEC/PNEC ratios. The CSRs indicate that there will be environmental releases from various life cycle stages for all registered uses. There is therefore an unacceptable risk, since</w:t>
      </w:r>
      <w:r w:rsidR="007F3ACB" w:rsidRPr="00EB5C5E">
        <w:rPr>
          <w:bCs/>
        </w:rPr>
        <w:t xml:space="preserve"> releases </w:t>
      </w:r>
      <w:r w:rsidR="007F3ACB">
        <w:rPr>
          <w:bCs/>
        </w:rPr>
        <w:t xml:space="preserve">do not appear </w:t>
      </w:r>
      <w:r w:rsidR="007F3ACB" w:rsidRPr="00EB5C5E">
        <w:rPr>
          <w:bCs/>
        </w:rPr>
        <w:t xml:space="preserve">to </w:t>
      </w:r>
      <w:r w:rsidR="007F3ACB">
        <w:rPr>
          <w:bCs/>
        </w:rPr>
        <w:t xml:space="preserve">be minimised to </w:t>
      </w:r>
      <w:r w:rsidR="007F3ACB" w:rsidRPr="00EB5C5E">
        <w:rPr>
          <w:bCs/>
        </w:rPr>
        <w:t xml:space="preserve">the greatest extent </w:t>
      </w:r>
      <w:r w:rsidR="007F3ACB">
        <w:rPr>
          <w:bCs/>
        </w:rPr>
        <w:t xml:space="preserve">technically and practically feasible. </w:t>
      </w:r>
      <w:r w:rsidR="00D4143D">
        <w:t>EU-wide follow up actions</w:t>
      </w:r>
      <w:r w:rsidR="007F3ACB">
        <w:t xml:space="preserve"> are necessary</w:t>
      </w:r>
      <w:r w:rsidR="00D4143D">
        <w:t xml:space="preserve"> to address </w:t>
      </w:r>
      <w:r w:rsidR="0007273B">
        <w:t>that requirement.</w:t>
      </w:r>
      <w:r w:rsidR="00356EAE">
        <w:t xml:space="preserve">  </w:t>
      </w:r>
    </w:p>
    <w:p w14:paraId="68353A09" w14:textId="7A5D573D" w:rsidR="00AF77F1" w:rsidRPr="00784A7F" w:rsidRDefault="004F6831" w:rsidP="00A84F22">
      <w:pPr>
        <w:pStyle w:val="Heading3"/>
        <w:widowControl/>
        <w:numPr>
          <w:ilvl w:val="1"/>
          <w:numId w:val="6"/>
        </w:numPr>
        <w:spacing w:before="200" w:after="120" w:line="276" w:lineRule="auto"/>
        <w:ind w:left="1077"/>
        <w:rPr>
          <w:color w:val="365F91" w:themeColor="accent1" w:themeShade="BF"/>
          <w:sz w:val="24"/>
          <w:szCs w:val="24"/>
        </w:rPr>
      </w:pPr>
      <w:r w:rsidRPr="004F6831">
        <w:rPr>
          <w:color w:val="365F91" w:themeColor="accent1" w:themeShade="BF"/>
          <w:sz w:val="24"/>
          <w:szCs w:val="24"/>
        </w:rPr>
        <w:t>Harmonised classification and labelling</w:t>
      </w:r>
    </w:p>
    <w:p w14:paraId="68353A11" w14:textId="6BF4E1BC" w:rsidR="004F6831" w:rsidRDefault="00A84F22" w:rsidP="00D34E8F">
      <w:pPr>
        <w:jc w:val="both"/>
      </w:pPr>
      <w:bookmarkStart w:id="1" w:name="_Toc357683635"/>
      <w:bookmarkStart w:id="2" w:name="_Toc357683639"/>
      <w:bookmarkEnd w:id="1"/>
      <w:r>
        <w:t>The UK CA does not intend</w:t>
      </w:r>
      <w:r w:rsidR="00231805">
        <w:t xml:space="preserve"> to propose amendment to the harmonised classification</w:t>
      </w:r>
      <w:r w:rsidR="0007273B">
        <w:t xml:space="preserve"> of MCCPs</w:t>
      </w:r>
      <w:r>
        <w:t xml:space="preserve"> at the present time</w:t>
      </w:r>
      <w:r w:rsidR="00231805">
        <w:t>.</w:t>
      </w:r>
      <w:r>
        <w:t xml:space="preserve"> Multiplication factors for </w:t>
      </w:r>
      <w:r w:rsidR="007F3ACB">
        <w:t xml:space="preserve">mixtures </w:t>
      </w:r>
      <w:r>
        <w:t xml:space="preserve">could be added </w:t>
      </w:r>
      <w:r w:rsidR="007F3ACB">
        <w:t xml:space="preserve">for aquatic hazards </w:t>
      </w:r>
      <w:r>
        <w:t>in due course once the outcome of additional risk management is known.</w:t>
      </w:r>
      <w:r w:rsidR="00231805">
        <w:t xml:space="preserve"> </w:t>
      </w:r>
    </w:p>
    <w:p w14:paraId="68353A12" w14:textId="77777777" w:rsidR="004F6831" w:rsidRDefault="008A1880" w:rsidP="00A84F22">
      <w:pPr>
        <w:pStyle w:val="Heading3"/>
        <w:widowControl/>
        <w:numPr>
          <w:ilvl w:val="1"/>
          <w:numId w:val="6"/>
        </w:numPr>
        <w:spacing w:before="200" w:after="120" w:line="276" w:lineRule="auto"/>
        <w:ind w:left="1077"/>
        <w:rPr>
          <w:color w:val="365F91" w:themeColor="accent1" w:themeShade="BF"/>
          <w:sz w:val="24"/>
          <w:szCs w:val="24"/>
        </w:rPr>
      </w:pPr>
      <w:r w:rsidRPr="008A1880">
        <w:rPr>
          <w:color w:val="365F91" w:themeColor="accent1" w:themeShade="BF"/>
          <w:sz w:val="24"/>
          <w:szCs w:val="24"/>
        </w:rPr>
        <w:t>Identification as a substance of very high concern, SVHC (first step towards authorisation)</w:t>
      </w:r>
    </w:p>
    <w:p w14:paraId="44223F88" w14:textId="3165BB00" w:rsidR="000756ED" w:rsidRDefault="00A84F22" w:rsidP="007B52D1">
      <w:pPr>
        <w:jc w:val="both"/>
      </w:pPr>
      <w:r>
        <w:t>Th</w:t>
      </w:r>
      <w:r w:rsidR="00FE20F7">
        <w:t>e UK CA has conclud</w:t>
      </w:r>
      <w:r w:rsidR="000756ED">
        <w:t xml:space="preserve">ed </w:t>
      </w:r>
      <w:r w:rsidR="00FE20F7">
        <w:t xml:space="preserve">that </w:t>
      </w:r>
      <w:r>
        <w:t>MCCPs</w:t>
      </w:r>
      <w:r w:rsidR="00FE20F7">
        <w:t xml:space="preserve"> </w:t>
      </w:r>
      <w:r>
        <w:t>meets the Annex XIII criteria for</w:t>
      </w:r>
      <w:r w:rsidR="00FE20F7">
        <w:t xml:space="preserve"> PBT and probably vPvB. </w:t>
      </w:r>
      <w:r w:rsidR="000756ED">
        <w:t xml:space="preserve">To </w:t>
      </w:r>
      <w:r w:rsidR="0007273B">
        <w:t xml:space="preserve">provide </w:t>
      </w:r>
      <w:r w:rsidR="000756ED">
        <w:t xml:space="preserve">support </w:t>
      </w:r>
      <w:r w:rsidR="0007273B">
        <w:t xml:space="preserve">for </w:t>
      </w:r>
      <w:r w:rsidR="000756ED">
        <w:t xml:space="preserve">the restriction process, </w:t>
      </w:r>
      <w:r w:rsidR="00231805">
        <w:t xml:space="preserve">the UK CA considers it </w:t>
      </w:r>
      <w:r w:rsidR="00FE20F7">
        <w:t xml:space="preserve">appropriate to </w:t>
      </w:r>
      <w:r w:rsidR="00FE20F7">
        <w:lastRenderedPageBreak/>
        <w:t xml:space="preserve">prepare </w:t>
      </w:r>
      <w:r w:rsidR="000756ED">
        <w:t xml:space="preserve">and submit </w:t>
      </w:r>
      <w:r w:rsidR="00FE20F7">
        <w:t>a</w:t>
      </w:r>
      <w:r>
        <w:t>n</w:t>
      </w:r>
      <w:r w:rsidR="00FE20F7">
        <w:t xml:space="preserve"> SVHC dossier</w:t>
      </w:r>
      <w:r w:rsidR="0007273B">
        <w:t>. This would</w:t>
      </w:r>
      <w:r w:rsidR="00FE20F7">
        <w:t xml:space="preserve"> </w:t>
      </w:r>
      <w:r w:rsidR="000756ED">
        <w:t>enable public consultation on the proposal to formally identify MCCP</w:t>
      </w:r>
      <w:r>
        <w:t>s</w:t>
      </w:r>
      <w:r w:rsidR="000756ED">
        <w:t xml:space="preserve"> as a SVHC and place it on the Candidate List.</w:t>
      </w:r>
      <w:r w:rsidR="00231805">
        <w:t xml:space="preserve"> </w:t>
      </w:r>
      <w:r w:rsidR="007B52D1">
        <w:rPr>
          <w:rFonts w:eastAsiaTheme="minorHAnsi" w:cs="Verdana"/>
          <w:color w:val="000000"/>
          <w:lang w:eastAsia="en-US"/>
        </w:rPr>
        <w:t xml:space="preserve">The registrants do not consider that MCCPs meets the Annex XIII criteria, so </w:t>
      </w:r>
      <w:r w:rsidR="00287855">
        <w:t xml:space="preserve">SVHC identification would </w:t>
      </w:r>
      <w:r w:rsidR="007B52D1">
        <w:t xml:space="preserve">create legal certainty and </w:t>
      </w:r>
      <w:r w:rsidR="00287855">
        <w:t xml:space="preserve">oblige </w:t>
      </w:r>
      <w:r w:rsidR="007B52D1">
        <w:t>the registrants</w:t>
      </w:r>
      <w:r w:rsidR="00287855">
        <w:t xml:space="preserve"> to</w:t>
      </w:r>
      <w:r w:rsidR="007B52D1">
        <w:t xml:space="preserve"> </w:t>
      </w:r>
      <w:r w:rsidR="00287855">
        <w:t>review their risk management measures and provide advice on safe use to downstream users. Article importers would be obliged to notify ECHA of MCCP</w:t>
      </w:r>
      <w:r w:rsidR="007F3ACB">
        <w:t>s</w:t>
      </w:r>
      <w:r w:rsidR="00287855">
        <w:t xml:space="preserve"> imports </w:t>
      </w:r>
      <w:r w:rsidR="00287855" w:rsidRPr="00287855">
        <w:t>(</w:t>
      </w:r>
      <w:r w:rsidR="00287855">
        <w:t xml:space="preserve">in articles) exceeding </w:t>
      </w:r>
      <w:r>
        <w:t>1 </w:t>
      </w:r>
      <w:r w:rsidR="00287855" w:rsidRPr="00287855">
        <w:t>tonne per year</w:t>
      </w:r>
      <w:r w:rsidR="00287855">
        <w:t>, where the concentration in the article exceeds 0.1% (w/w).</w:t>
      </w:r>
    </w:p>
    <w:p w14:paraId="68353A1A" w14:textId="77777777" w:rsidR="004F6831" w:rsidRPr="00270FFE" w:rsidRDefault="008A1880" w:rsidP="00827A29">
      <w:pPr>
        <w:pStyle w:val="Heading3"/>
        <w:widowControl/>
        <w:numPr>
          <w:ilvl w:val="1"/>
          <w:numId w:val="6"/>
        </w:numPr>
        <w:spacing w:before="200" w:after="120" w:line="276" w:lineRule="auto"/>
        <w:ind w:left="1077"/>
        <w:rPr>
          <w:color w:val="365F91"/>
        </w:rPr>
      </w:pPr>
      <w:r w:rsidRPr="00827A29">
        <w:rPr>
          <w:color w:val="365F91" w:themeColor="accent1" w:themeShade="BF"/>
          <w:sz w:val="24"/>
          <w:szCs w:val="24"/>
        </w:rPr>
        <w:t>Restriction</w:t>
      </w:r>
      <w:r w:rsidRPr="00270FFE">
        <w:rPr>
          <w:color w:val="365F91"/>
          <w:sz w:val="24"/>
          <w:szCs w:val="24"/>
        </w:rPr>
        <w:t xml:space="preserve"> under REACH</w:t>
      </w:r>
    </w:p>
    <w:p w14:paraId="391EC22A" w14:textId="1D0B3893" w:rsidR="0002607F" w:rsidRDefault="00C1014F" w:rsidP="00D34E8F">
      <w:pPr>
        <w:spacing w:after="120"/>
        <w:jc w:val="both"/>
      </w:pPr>
      <w:r>
        <w:t>MCCPs</w:t>
      </w:r>
      <w:r w:rsidR="00827A29">
        <w:t xml:space="preserve"> is described by a single CAS number,</w:t>
      </w:r>
      <w:r w:rsidR="007B52D1">
        <w:t xml:space="preserve"> but</w:t>
      </w:r>
      <w:r w:rsidR="007B52D1" w:rsidRPr="007B52D1">
        <w:rPr>
          <w:rFonts w:eastAsiaTheme="minorHAnsi" w:cs="Verdana"/>
          <w:color w:val="000000"/>
          <w:lang w:eastAsia="en-US"/>
        </w:rPr>
        <w:t xml:space="preserve"> </w:t>
      </w:r>
      <w:r w:rsidR="007B52D1" w:rsidRPr="00024FFB">
        <w:rPr>
          <w:rFonts w:eastAsiaTheme="minorHAnsi" w:cs="Verdana"/>
          <w:color w:val="000000"/>
          <w:lang w:eastAsia="en-US"/>
        </w:rPr>
        <w:t xml:space="preserve">contains </w:t>
      </w:r>
      <w:r w:rsidR="007B52D1">
        <w:rPr>
          <w:rFonts w:eastAsiaTheme="minorHAnsi" w:cs="Verdana"/>
          <w:color w:val="000000"/>
          <w:lang w:eastAsia="en-US"/>
        </w:rPr>
        <w:t>thousands</w:t>
      </w:r>
      <w:r w:rsidR="007B52D1" w:rsidRPr="00024FFB">
        <w:rPr>
          <w:rFonts w:eastAsiaTheme="minorHAnsi" w:cs="Verdana"/>
          <w:color w:val="000000"/>
          <w:lang w:eastAsia="en-US"/>
        </w:rPr>
        <w:t xml:space="preserve"> of </w:t>
      </w:r>
      <w:r w:rsidR="007B52D1" w:rsidRPr="00024FFB">
        <w:t>constituents</w:t>
      </w:r>
      <w:r w:rsidR="007B52D1">
        <w:t>. It</w:t>
      </w:r>
      <w:r w:rsidR="00827A29">
        <w:t xml:space="preserve"> is supplied at </w:t>
      </w:r>
      <w:r>
        <w:t xml:space="preserve">high tonnage </w:t>
      </w:r>
      <w:r w:rsidR="00827A29">
        <w:t>with a</w:t>
      </w:r>
      <w:r>
        <w:t xml:space="preserve"> wide dispersive use</w:t>
      </w:r>
      <w:r w:rsidR="00827A29">
        <w:t xml:space="preserve"> pattern</w:t>
      </w:r>
      <w:r>
        <w:t xml:space="preserve"> within the EU. Releases </w:t>
      </w:r>
      <w:r w:rsidRPr="00C1014F">
        <w:t xml:space="preserve">to the environment </w:t>
      </w:r>
      <w:r w:rsidR="00827A29">
        <w:t xml:space="preserve">are </w:t>
      </w:r>
      <w:r>
        <w:t>estimated at approximately 300 tonnes per year</w:t>
      </w:r>
      <w:r w:rsidR="00827A29">
        <w:t>, and</w:t>
      </w:r>
      <w:r>
        <w:t xml:space="preserve"> arise from product formulation, use and service life. Existing operational controls and risk management measures </w:t>
      </w:r>
      <w:r w:rsidR="00046546">
        <w:t xml:space="preserve">identified in the lead registrant’s CSR </w:t>
      </w:r>
      <w:r w:rsidR="00827A29">
        <w:t>do</w:t>
      </w:r>
      <w:r w:rsidR="00046546">
        <w:t xml:space="preserve"> not </w:t>
      </w:r>
      <w:r w:rsidR="0002607F">
        <w:t xml:space="preserve">prevent service life releases from products manufactured in the EU or imported from outside the </w:t>
      </w:r>
      <w:r w:rsidR="00827A29">
        <w:t>region</w:t>
      </w:r>
      <w:r w:rsidR="0002607F">
        <w:t xml:space="preserve">. SVHC identification would imply </w:t>
      </w:r>
      <w:r w:rsidR="00046546">
        <w:t xml:space="preserve">eventual </w:t>
      </w:r>
      <w:r w:rsidR="0002607F">
        <w:t xml:space="preserve">authorisation or restriction. Restriction is preferred as a more effective regulatory instrument </w:t>
      </w:r>
      <w:r w:rsidR="00046546">
        <w:t xml:space="preserve">for </w:t>
      </w:r>
      <w:r w:rsidR="00827A29">
        <w:t>the following</w:t>
      </w:r>
      <w:r w:rsidR="00046546">
        <w:t xml:space="preserve"> reasons</w:t>
      </w:r>
      <w:r w:rsidR="0002607F">
        <w:t>:</w:t>
      </w:r>
    </w:p>
    <w:p w14:paraId="1BACFA55" w14:textId="0329E0F7" w:rsidR="0002607F" w:rsidRDefault="00827A29" w:rsidP="00D34E8F">
      <w:pPr>
        <w:pStyle w:val="BodyText"/>
        <w:numPr>
          <w:ilvl w:val="0"/>
          <w:numId w:val="14"/>
        </w:numPr>
        <w:ind w:left="426" w:right="379"/>
      </w:pPr>
      <w:r>
        <w:t>I</w:t>
      </w:r>
      <w:r w:rsidR="0002607F">
        <w:t>mport</w:t>
      </w:r>
      <w:r w:rsidR="00046546">
        <w:t>ed goods</w:t>
      </w:r>
      <w:r w:rsidR="0002607F">
        <w:t xml:space="preserve"> </w:t>
      </w:r>
      <w:r w:rsidR="00046546">
        <w:t xml:space="preserve">containing MCCPs - such as </w:t>
      </w:r>
      <w:r>
        <w:t>textiles</w:t>
      </w:r>
      <w:r w:rsidR="00046546">
        <w:t xml:space="preserve"> -</w:t>
      </w:r>
      <w:r w:rsidR="0002607F">
        <w:t xml:space="preserve"> </w:t>
      </w:r>
      <w:r w:rsidR="00046546">
        <w:t>c</w:t>
      </w:r>
      <w:r w:rsidR="00BE1E39">
        <w:t>ould</w:t>
      </w:r>
      <w:r w:rsidR="0002607F">
        <w:t xml:space="preserve"> be </w:t>
      </w:r>
      <w:r w:rsidR="00046546">
        <w:t>brought with</w:t>
      </w:r>
      <w:r w:rsidR="0002607F">
        <w:t xml:space="preserve">in </w:t>
      </w:r>
      <w:r w:rsidR="00046546">
        <w:t xml:space="preserve">the </w:t>
      </w:r>
      <w:r w:rsidR="0002607F">
        <w:t xml:space="preserve">scope of a restriction, but </w:t>
      </w:r>
      <w:r w:rsidR="00BE1E39">
        <w:t xml:space="preserve">would lie outside </w:t>
      </w:r>
      <w:r w:rsidR="00046546">
        <w:t>the scope of</w:t>
      </w:r>
      <w:r w:rsidR="00046546" w:rsidRPr="00046546">
        <w:t xml:space="preserve"> authorisation</w:t>
      </w:r>
      <w:r>
        <w:t>.</w:t>
      </w:r>
      <w:r w:rsidR="007B52D1">
        <w:t xml:space="preserve"> Restriction would therefore </w:t>
      </w:r>
      <w:r w:rsidR="007B52D1">
        <w:rPr>
          <w:bCs/>
        </w:rPr>
        <w:t>create a level playing field for all European stakeholders.</w:t>
      </w:r>
    </w:p>
    <w:p w14:paraId="579AB4EB" w14:textId="3F4DB511" w:rsidR="0002607F" w:rsidRDefault="00827A29" w:rsidP="00D34E8F">
      <w:pPr>
        <w:pStyle w:val="BodyText"/>
        <w:numPr>
          <w:ilvl w:val="0"/>
          <w:numId w:val="14"/>
        </w:numPr>
        <w:ind w:left="426" w:right="379"/>
        <w:jc w:val="both"/>
      </w:pPr>
      <w:r>
        <w:t xml:space="preserve">PBT/vPvB properties </w:t>
      </w:r>
      <w:r w:rsidR="00AA483B">
        <w:t>may not be associated with</w:t>
      </w:r>
      <w:r>
        <w:t xml:space="preserve"> some types of MCCP product (specifically, those with a chlorine content of </w:t>
      </w:r>
      <w:r w:rsidR="00AA483B">
        <w:t>≤4</w:t>
      </w:r>
      <w:r>
        <w:t>5</w:t>
      </w:r>
      <w:bookmarkStart w:id="3" w:name="_GoBack"/>
      <w:bookmarkEnd w:id="3"/>
      <w:r>
        <w:t xml:space="preserve"> % by weight). A</w:t>
      </w:r>
      <w:r w:rsidR="0002607F">
        <w:t xml:space="preserve"> restriction </w:t>
      </w:r>
      <w:r>
        <w:t xml:space="preserve">could address the risks whilst derogating uses of lower chlorine content products. </w:t>
      </w:r>
    </w:p>
    <w:p w14:paraId="6BD835C3" w14:textId="7853EF0D" w:rsidR="00046546" w:rsidRDefault="0002607F" w:rsidP="00D34E8F">
      <w:pPr>
        <w:pStyle w:val="BodyText"/>
        <w:numPr>
          <w:ilvl w:val="0"/>
          <w:numId w:val="14"/>
        </w:numPr>
        <w:ind w:left="426" w:right="379"/>
        <w:jc w:val="both"/>
      </w:pPr>
      <w:r>
        <w:t>A restriction could be defined to exclude uses</w:t>
      </w:r>
      <w:r w:rsidR="00046546">
        <w:t xml:space="preserve"> with minimal releases to the environment;</w:t>
      </w:r>
      <w:r w:rsidR="004D6DF2">
        <w:t xml:space="preserve"> this is not possible with authorisation.</w:t>
      </w:r>
    </w:p>
    <w:p w14:paraId="2A8E4726" w14:textId="2461AE70" w:rsidR="004D6DF2" w:rsidRDefault="004D6DF2" w:rsidP="00D34E8F">
      <w:pPr>
        <w:pStyle w:val="BodyText"/>
        <w:jc w:val="both"/>
      </w:pPr>
      <w:r>
        <w:t>Available information suggests that alternatives may be available</w:t>
      </w:r>
      <w:r w:rsidR="008F6D62" w:rsidRPr="008F6D62">
        <w:t xml:space="preserve"> </w:t>
      </w:r>
      <w:r w:rsidR="008F6D62">
        <w:t>for some uses</w:t>
      </w:r>
      <w:r>
        <w:t xml:space="preserve">, </w:t>
      </w:r>
      <w:r w:rsidR="004A2786">
        <w:t>though this might be associated with increased cost. A restriction proposal would give industry the opportunity to submit detailed socio-economic information on alternatives (at the Public Consultation stage or earlier).</w:t>
      </w:r>
      <w:r w:rsidR="00D34E8F" w:rsidRPr="00D34E8F">
        <w:t xml:space="preserve"> </w:t>
      </w:r>
      <w:r w:rsidR="00D34E8F">
        <w:t>Notification of the intention to propose a restriction could be made at the same time as SVHC dossier submission.</w:t>
      </w:r>
    </w:p>
    <w:p w14:paraId="68353A27" w14:textId="77777777" w:rsidR="004F6831" w:rsidRPr="00784A7F" w:rsidRDefault="008A1880" w:rsidP="00827A29">
      <w:pPr>
        <w:pStyle w:val="Heading3"/>
        <w:widowControl/>
        <w:numPr>
          <w:ilvl w:val="1"/>
          <w:numId w:val="6"/>
        </w:numPr>
        <w:spacing w:before="200" w:after="120" w:line="276" w:lineRule="auto"/>
        <w:ind w:left="1077"/>
        <w:rPr>
          <w:color w:val="365F91" w:themeColor="accent1" w:themeShade="BF"/>
          <w:sz w:val="24"/>
          <w:szCs w:val="24"/>
        </w:rPr>
      </w:pPr>
      <w:r w:rsidRPr="008A1880">
        <w:rPr>
          <w:color w:val="365F91" w:themeColor="accent1" w:themeShade="BF"/>
          <w:sz w:val="24"/>
          <w:szCs w:val="24"/>
        </w:rPr>
        <w:t>Other Union-wide regulatory measures</w:t>
      </w:r>
    </w:p>
    <w:bookmarkEnd w:id="2"/>
    <w:p w14:paraId="68353A30" w14:textId="3FC2E78F" w:rsidR="00E86372" w:rsidRDefault="00C912B9" w:rsidP="008F6D62">
      <w:r w:rsidRPr="00C912B9">
        <w:t xml:space="preserve">The UK CA </w:t>
      </w:r>
      <w:r>
        <w:t>does not intend to initiate any other EU-wide regulatory measures for MCCP</w:t>
      </w:r>
      <w:r w:rsidR="008F6D62">
        <w:t>s</w:t>
      </w:r>
      <w:r>
        <w:t xml:space="preserve">. </w:t>
      </w:r>
    </w:p>
    <w:p w14:paraId="333A2B85" w14:textId="77777777" w:rsidR="008F6D62" w:rsidRDefault="008F6D62" w:rsidP="008F6D62">
      <w:pPr>
        <w:rPr>
          <w:rFonts w:cs="Arial"/>
          <w:b/>
          <w:bCs/>
          <w:snapToGrid/>
          <w:color w:val="4F81BD" w:themeColor="accent1"/>
          <w:sz w:val="28"/>
          <w:szCs w:val="28"/>
        </w:rPr>
      </w:pPr>
    </w:p>
    <w:p w14:paraId="68353A31" w14:textId="2960D81C" w:rsidR="008A1880" w:rsidRDefault="008A1880" w:rsidP="008A1880">
      <w:pPr>
        <w:pStyle w:val="Heading3"/>
        <w:numPr>
          <w:ilvl w:val="0"/>
          <w:numId w:val="6"/>
        </w:numPr>
        <w:rPr>
          <w:caps/>
          <w:color w:val="4F81BD" w:themeColor="accent1"/>
          <w:sz w:val="24"/>
          <w:szCs w:val="28"/>
        </w:rPr>
      </w:pPr>
      <w:r w:rsidRPr="00270FFE">
        <w:rPr>
          <w:caps/>
          <w:color w:val="4F81BD" w:themeColor="accent1"/>
          <w:sz w:val="24"/>
          <w:szCs w:val="28"/>
        </w:rPr>
        <w:t>Need for action other than EU regulatory action</w:t>
      </w:r>
    </w:p>
    <w:p w14:paraId="733BE970" w14:textId="51332417" w:rsidR="00C912B9" w:rsidRDefault="00FF6EDB" w:rsidP="00D34E8F">
      <w:pPr>
        <w:pStyle w:val="BodyText"/>
        <w:jc w:val="both"/>
      </w:pPr>
      <w:r>
        <w:t xml:space="preserve">The UK CA recognises that EU/EEA </w:t>
      </w:r>
      <w:r w:rsidR="00180661">
        <w:t xml:space="preserve">level </w:t>
      </w:r>
      <w:r>
        <w:t xml:space="preserve">voluntary initiatives led by industry may provide opportunities for the early reduction </w:t>
      </w:r>
      <w:r w:rsidR="00180661">
        <w:t>of</w:t>
      </w:r>
      <w:r>
        <w:t xml:space="preserve"> emissions, in advance of statutory obligations. </w:t>
      </w:r>
    </w:p>
    <w:p w14:paraId="68353A34" w14:textId="4B18A8C2" w:rsidR="00DB0024" w:rsidRDefault="00C912B9" w:rsidP="00D34E8F">
      <w:pPr>
        <w:pStyle w:val="BodyText"/>
        <w:jc w:val="both"/>
      </w:pPr>
      <w:r>
        <w:t>The UK CA is considering the potential for developing a nomination for MCCP</w:t>
      </w:r>
      <w:r w:rsidR="008F6D62">
        <w:t>s under the Stockholm Convention on Persistent Organic Pollutants</w:t>
      </w:r>
      <w:r w:rsidR="00D34E8F">
        <w:t xml:space="preserve"> (POPs)</w:t>
      </w:r>
      <w:r>
        <w:t>.</w:t>
      </w:r>
      <w:r w:rsidR="00FF6EDB">
        <w:t xml:space="preserve"> </w:t>
      </w:r>
      <w:r w:rsidR="00180661">
        <w:t xml:space="preserve">This could be pursued co-operatively with EU member states or non-EU </w:t>
      </w:r>
      <w:r w:rsidR="008F6D62">
        <w:t>countries</w:t>
      </w:r>
      <w:r w:rsidR="00180661">
        <w:t>.</w:t>
      </w:r>
      <w:r w:rsidR="00D34E8F">
        <w:t xml:space="preserve"> The REACH restriction could be processed in parallel with a POPs nomination.</w:t>
      </w:r>
    </w:p>
    <w:p w14:paraId="140D7016" w14:textId="77777777" w:rsidR="008F6D62" w:rsidRDefault="008F6D62" w:rsidP="00DB0024">
      <w:pPr>
        <w:pStyle w:val="BodyText"/>
      </w:pPr>
    </w:p>
    <w:p w14:paraId="68353A35" w14:textId="1A40B304" w:rsidR="00DB0024" w:rsidRDefault="006617E0" w:rsidP="00DB0024">
      <w:pPr>
        <w:pStyle w:val="Heading3"/>
        <w:numPr>
          <w:ilvl w:val="0"/>
          <w:numId w:val="6"/>
        </w:numPr>
        <w:rPr>
          <w:caps/>
          <w:color w:val="4F81BD" w:themeColor="accent1"/>
          <w:sz w:val="24"/>
          <w:szCs w:val="28"/>
        </w:rPr>
      </w:pPr>
      <w:r>
        <w:rPr>
          <w:caps/>
          <w:color w:val="4F81BD" w:themeColor="accent1"/>
          <w:sz w:val="24"/>
          <w:szCs w:val="28"/>
        </w:rPr>
        <w:t xml:space="preserve">No </w:t>
      </w:r>
      <w:r w:rsidR="00DB0024" w:rsidRPr="00270FFE">
        <w:rPr>
          <w:caps/>
          <w:color w:val="4F81BD" w:themeColor="accent1"/>
          <w:sz w:val="24"/>
          <w:szCs w:val="28"/>
        </w:rPr>
        <w:t xml:space="preserve">action </w:t>
      </w:r>
      <w:r>
        <w:rPr>
          <w:caps/>
          <w:color w:val="4F81BD" w:themeColor="accent1"/>
          <w:sz w:val="24"/>
          <w:szCs w:val="28"/>
        </w:rPr>
        <w:t>needed at this time</w:t>
      </w:r>
    </w:p>
    <w:p w14:paraId="066003D9" w14:textId="7447974C" w:rsidR="00492518" w:rsidRDefault="007F3ACB" w:rsidP="007F3ACB">
      <w:pPr>
        <w:pStyle w:val="BodyText"/>
      </w:pPr>
      <w:r w:rsidRPr="00310BCB">
        <w:t>No additional EU-wide regulatory risk management measures are foreseen</w:t>
      </w:r>
      <w:r w:rsidRPr="007F3ACB">
        <w:rPr>
          <w:i/>
        </w:rPr>
        <w:t>.</w:t>
      </w:r>
      <w:r w:rsidRPr="00310BCB">
        <w:t xml:space="preserve"> </w:t>
      </w:r>
    </w:p>
    <w:p w14:paraId="79842C00" w14:textId="77777777" w:rsidR="007F3ACB" w:rsidRPr="007F3ACB" w:rsidRDefault="007F3ACB" w:rsidP="007F3ACB">
      <w:pPr>
        <w:pStyle w:val="BodyText"/>
        <w:rPr>
          <w:i/>
        </w:rPr>
      </w:pPr>
    </w:p>
    <w:p w14:paraId="68353A3C" w14:textId="3E86C7AC" w:rsidR="00DB0024" w:rsidRPr="00270FFE" w:rsidRDefault="006617E0" w:rsidP="00270FFE">
      <w:pPr>
        <w:pStyle w:val="Heading3"/>
        <w:numPr>
          <w:ilvl w:val="0"/>
          <w:numId w:val="6"/>
        </w:numPr>
        <w:rPr>
          <w:caps/>
          <w:color w:val="4F81BD" w:themeColor="accent1"/>
          <w:sz w:val="24"/>
          <w:szCs w:val="28"/>
        </w:rPr>
      </w:pPr>
      <w:r w:rsidRPr="00270FFE">
        <w:rPr>
          <w:caps/>
          <w:color w:val="4F81BD" w:themeColor="accent1"/>
          <w:sz w:val="24"/>
          <w:szCs w:val="28"/>
        </w:rPr>
        <w:lastRenderedPageBreak/>
        <w:t>TENTATIVE PLAN FOR FOLLOW-UP ACTIONS IF NECESSARY</w:t>
      </w:r>
    </w:p>
    <w:p w14:paraId="68353A4C" w14:textId="77777777" w:rsidR="00A14C19" w:rsidRPr="00166209" w:rsidRDefault="00A14C19" w:rsidP="00D34E8F">
      <w:pPr>
        <w:spacing w:after="360"/>
        <w:jc w:val="both"/>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456"/>
      </w:tblGrid>
      <w:tr w:rsidR="00A14C19" w:rsidRPr="003016DF" w14:paraId="68353A50" w14:textId="77777777" w:rsidTr="00D34E8F">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456" w:type="dxa"/>
            <w:shd w:val="clear" w:color="auto" w:fill="auto"/>
          </w:tcPr>
          <w:p w14:paraId="68353A4F" w14:textId="77777777" w:rsidR="00A14C19" w:rsidRPr="003016DF" w:rsidRDefault="00A14C19" w:rsidP="00A2050D">
            <w:pPr>
              <w:rPr>
                <w:b/>
              </w:rPr>
            </w:pPr>
            <w:r w:rsidRPr="003016DF">
              <w:rPr>
                <w:b/>
              </w:rPr>
              <w:t>Actor</w:t>
            </w:r>
          </w:p>
        </w:tc>
      </w:tr>
      <w:tr w:rsidR="00D34E8F" w:rsidRPr="003016DF" w14:paraId="50D2A3CF" w14:textId="77777777" w:rsidTr="00D34E8F">
        <w:trPr>
          <w:trHeight w:val="624"/>
        </w:trPr>
        <w:tc>
          <w:tcPr>
            <w:tcW w:w="2808" w:type="dxa"/>
            <w:shd w:val="clear" w:color="auto" w:fill="auto"/>
          </w:tcPr>
          <w:p w14:paraId="2E6DE0D8" w14:textId="3BE323D3" w:rsidR="00D34E8F" w:rsidRPr="003016DF" w:rsidRDefault="00D34E8F" w:rsidP="00D34E8F">
            <w:r>
              <w:t>Annex XV dossier for SVHC identification</w:t>
            </w:r>
          </w:p>
        </w:tc>
        <w:tc>
          <w:tcPr>
            <w:tcW w:w="2520" w:type="dxa"/>
            <w:shd w:val="clear" w:color="auto" w:fill="auto"/>
          </w:tcPr>
          <w:p w14:paraId="48577E89" w14:textId="4A20A28F" w:rsidR="00D34E8F" w:rsidRPr="003016DF" w:rsidRDefault="00D34E8F" w:rsidP="00D34E8F">
            <w:r>
              <w:t>Q1 2020</w:t>
            </w:r>
          </w:p>
        </w:tc>
        <w:tc>
          <w:tcPr>
            <w:tcW w:w="3456" w:type="dxa"/>
            <w:shd w:val="clear" w:color="auto" w:fill="auto"/>
          </w:tcPr>
          <w:p w14:paraId="5F9E23DC" w14:textId="61092708" w:rsidR="00D34E8F" w:rsidRPr="003016DF" w:rsidRDefault="00D34E8F" w:rsidP="00D34E8F">
            <w:r>
              <w:t>To be confirmed</w:t>
            </w:r>
          </w:p>
        </w:tc>
      </w:tr>
      <w:tr w:rsidR="00D34E8F" w:rsidRPr="003016DF" w14:paraId="68353A58" w14:textId="77777777" w:rsidTr="00D34E8F">
        <w:trPr>
          <w:trHeight w:val="624"/>
        </w:trPr>
        <w:tc>
          <w:tcPr>
            <w:tcW w:w="2808" w:type="dxa"/>
            <w:shd w:val="clear" w:color="auto" w:fill="auto"/>
          </w:tcPr>
          <w:p w14:paraId="68353A55" w14:textId="5B01946E" w:rsidR="00D34E8F" w:rsidRPr="003016DF" w:rsidRDefault="00D34E8F" w:rsidP="00D34E8F">
            <w:r w:rsidRPr="00180661">
              <w:t>A</w:t>
            </w:r>
            <w:r>
              <w:t>nnex XV dossier for restriction</w:t>
            </w:r>
          </w:p>
        </w:tc>
        <w:tc>
          <w:tcPr>
            <w:tcW w:w="2520" w:type="dxa"/>
            <w:shd w:val="clear" w:color="auto" w:fill="auto"/>
          </w:tcPr>
          <w:p w14:paraId="68353A56" w14:textId="372B4B01" w:rsidR="00D34E8F" w:rsidRPr="003016DF" w:rsidRDefault="00D34E8F" w:rsidP="00D34E8F">
            <w:r>
              <w:t>Q1 2021</w:t>
            </w:r>
          </w:p>
        </w:tc>
        <w:tc>
          <w:tcPr>
            <w:tcW w:w="3456" w:type="dxa"/>
            <w:shd w:val="clear" w:color="auto" w:fill="auto"/>
          </w:tcPr>
          <w:p w14:paraId="68353A57" w14:textId="12E92AD3" w:rsidR="00D34E8F" w:rsidRPr="003016DF" w:rsidRDefault="00D34E8F" w:rsidP="00D34E8F">
            <w:r>
              <w:t>To be confirmed</w:t>
            </w:r>
          </w:p>
        </w:tc>
      </w:tr>
    </w:tbl>
    <w:p w14:paraId="30F1F25F" w14:textId="77777777" w:rsidR="00D34E8F" w:rsidRDefault="00D34E8F" w:rsidP="00D34E8F">
      <w:r>
        <w:rPr>
          <w:sz w:val="18"/>
        </w:rPr>
        <w:t>Note: The timing of the UK’s exit from the EU is likely to affect which actors would be involved in the formal submission of any dossier. This requires further discussion.</w:t>
      </w:r>
    </w:p>
    <w:p w14:paraId="68353A59" w14:textId="77777777" w:rsidR="00997177" w:rsidRDefault="00AA483B"/>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3A68" w14:textId="531CACCC" w:rsidR="002E4026" w:rsidRPr="00B66083" w:rsidRDefault="00E86372" w:rsidP="002E4026">
    <w:pPr>
      <w:pStyle w:val="Footer"/>
      <w:jc w:val="center"/>
    </w:pPr>
    <w:r w:rsidRPr="009A61C8">
      <w:rPr>
        <w:sz w:val="18"/>
        <w:szCs w:val="18"/>
      </w:rPr>
      <w:t xml:space="preserve">EC no </w:t>
    </w:r>
    <w:r w:rsidR="00FA1E03">
      <w:rPr>
        <w:sz w:val="18"/>
        <w:szCs w:val="18"/>
      </w:rPr>
      <w:t>287</w:t>
    </w:r>
    <w:r w:rsidRPr="009A61C8">
      <w:rPr>
        <w:sz w:val="18"/>
        <w:szCs w:val="18"/>
      </w:rPr>
      <w:t>-</w:t>
    </w:r>
    <w:r w:rsidR="00FA1E03">
      <w:rPr>
        <w:sz w:val="18"/>
        <w:szCs w:val="18"/>
      </w:rPr>
      <w:t>447</w:t>
    </w:r>
    <w:r w:rsidRPr="009A61C8">
      <w:rPr>
        <w:sz w:val="18"/>
        <w:szCs w:val="18"/>
      </w:rPr>
      <w:t>-</w:t>
    </w:r>
    <w:r w:rsidR="00FA1E03">
      <w:rPr>
        <w:sz w:val="18"/>
        <w:szCs w:val="18"/>
      </w:rPr>
      <w:t>0</w:t>
    </w:r>
    <w:r w:rsidRPr="009A61C8">
      <w:rPr>
        <w:sz w:val="18"/>
        <w:szCs w:val="18"/>
      </w:rPr>
      <w:tab/>
      <w:t xml:space="preserve">MSCA </w:t>
    </w:r>
    <w:r w:rsidR="00FA1E03">
      <w:rPr>
        <w:sz w:val="18"/>
        <w:szCs w:val="18"/>
      </w:rPr>
      <w:t>–</w:t>
    </w:r>
    <w:r w:rsidRPr="009A61C8">
      <w:rPr>
        <w:sz w:val="18"/>
        <w:szCs w:val="18"/>
      </w:rPr>
      <w:t xml:space="preserve"> </w:t>
    </w:r>
    <w:r w:rsidR="00FA1E03">
      <w:rPr>
        <w:sz w:val="18"/>
        <w:szCs w:val="18"/>
      </w:rPr>
      <w:t>United Kingdom</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AA483B">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AA483B">
      <w:rPr>
        <w:noProof/>
        <w:sz w:val="18"/>
        <w:szCs w:val="18"/>
      </w:rPr>
      <w:t>6</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3A6A" w14:textId="2F10B7A1" w:rsidR="00C0335E" w:rsidRPr="00B66083" w:rsidRDefault="00E86372" w:rsidP="00B66083">
    <w:pPr>
      <w:pStyle w:val="Footer"/>
      <w:jc w:val="center"/>
    </w:pPr>
    <w:r w:rsidRPr="009A61C8">
      <w:rPr>
        <w:sz w:val="18"/>
        <w:szCs w:val="18"/>
      </w:rPr>
      <w:t xml:space="preserve">EC no </w:t>
    </w:r>
    <w:r w:rsidR="00131F24">
      <w:rPr>
        <w:sz w:val="18"/>
        <w:szCs w:val="18"/>
      </w:rPr>
      <w:t>287-447</w:t>
    </w:r>
    <w:r w:rsidRPr="009A61C8">
      <w:rPr>
        <w:sz w:val="18"/>
        <w:szCs w:val="18"/>
      </w:rPr>
      <w:t>-</w:t>
    </w:r>
    <w:r w:rsidR="00131F24">
      <w:rPr>
        <w:sz w:val="18"/>
        <w:szCs w:val="18"/>
      </w:rPr>
      <w:t>0</w:t>
    </w:r>
    <w:r w:rsidRPr="009A61C8">
      <w:rPr>
        <w:sz w:val="18"/>
        <w:szCs w:val="18"/>
      </w:rPr>
      <w:tab/>
      <w:t xml:space="preserve">MSCA </w:t>
    </w:r>
    <w:r w:rsidR="00131F24">
      <w:rPr>
        <w:sz w:val="18"/>
        <w:szCs w:val="18"/>
      </w:rPr>
      <w:t>–</w:t>
    </w:r>
    <w:r w:rsidRPr="009A61C8">
      <w:rPr>
        <w:sz w:val="18"/>
        <w:szCs w:val="18"/>
      </w:rPr>
      <w:t xml:space="preserve"> </w:t>
    </w:r>
    <w:r w:rsidR="00131F24">
      <w:rPr>
        <w:sz w:val="18"/>
        <w:szCs w:val="18"/>
      </w:rPr>
      <w:t>United Kingdom</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AA483B">
      <w:rPr>
        <w:noProof/>
        <w:sz w:val="18"/>
        <w:szCs w:val="18"/>
      </w:rPr>
      <w:t>6</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AA483B">
      <w:rPr>
        <w:noProof/>
        <w:sz w:val="18"/>
        <w:szCs w:val="18"/>
      </w:rPr>
      <w:t>6</w:t>
    </w:r>
    <w:r w:rsidR="00B66083" w:rsidRPr="009320D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3E865760"/>
    <w:multiLevelType w:val="hybridMultilevel"/>
    <w:tmpl w:val="6A1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9"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4"/>
  </w:num>
  <w:num w:numId="4">
    <w:abstractNumId w:val="0"/>
  </w:num>
  <w:num w:numId="5">
    <w:abstractNumId w:val="3"/>
  </w:num>
  <w:num w:numId="6">
    <w:abstractNumId w:val="13"/>
  </w:num>
  <w:num w:numId="7">
    <w:abstractNumId w:val="1"/>
  </w:num>
  <w:num w:numId="8">
    <w:abstractNumId w:val="2"/>
  </w:num>
  <w:num w:numId="9">
    <w:abstractNumId w:val="6"/>
  </w:num>
  <w:num w:numId="10">
    <w:abstractNumId w:val="8"/>
  </w:num>
  <w:num w:numId="11">
    <w:abstractNumId w:val="10"/>
  </w:num>
  <w:num w:numId="12">
    <w:abstractNumId w:val="5"/>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57"/>
    <w:rsid w:val="00002586"/>
    <w:rsid w:val="000042FA"/>
    <w:rsid w:val="0000560B"/>
    <w:rsid w:val="000122ED"/>
    <w:rsid w:val="0001476D"/>
    <w:rsid w:val="000204C4"/>
    <w:rsid w:val="00024D48"/>
    <w:rsid w:val="0002607F"/>
    <w:rsid w:val="00037F48"/>
    <w:rsid w:val="00046546"/>
    <w:rsid w:val="00047BEE"/>
    <w:rsid w:val="00054356"/>
    <w:rsid w:val="000633BF"/>
    <w:rsid w:val="000711F7"/>
    <w:rsid w:val="0007273B"/>
    <w:rsid w:val="000756ED"/>
    <w:rsid w:val="00077E65"/>
    <w:rsid w:val="0009452D"/>
    <w:rsid w:val="000A3AEB"/>
    <w:rsid w:val="000D5B93"/>
    <w:rsid w:val="000E2FC2"/>
    <w:rsid w:val="000E4E5B"/>
    <w:rsid w:val="000E7032"/>
    <w:rsid w:val="00112815"/>
    <w:rsid w:val="0011467E"/>
    <w:rsid w:val="001259BB"/>
    <w:rsid w:val="0012634F"/>
    <w:rsid w:val="00126494"/>
    <w:rsid w:val="00131F24"/>
    <w:rsid w:val="001448AF"/>
    <w:rsid w:val="00144F02"/>
    <w:rsid w:val="00144FCA"/>
    <w:rsid w:val="00166209"/>
    <w:rsid w:val="00180661"/>
    <w:rsid w:val="00183C4B"/>
    <w:rsid w:val="001915C8"/>
    <w:rsid w:val="001B163A"/>
    <w:rsid w:val="001C1F13"/>
    <w:rsid w:val="001E6C1A"/>
    <w:rsid w:val="00201A44"/>
    <w:rsid w:val="00202966"/>
    <w:rsid w:val="00205775"/>
    <w:rsid w:val="002163CF"/>
    <w:rsid w:val="00220442"/>
    <w:rsid w:val="00227B7E"/>
    <w:rsid w:val="00231805"/>
    <w:rsid w:val="002460BF"/>
    <w:rsid w:val="00247925"/>
    <w:rsid w:val="00256417"/>
    <w:rsid w:val="00262180"/>
    <w:rsid w:val="002650FC"/>
    <w:rsid w:val="00270FFE"/>
    <w:rsid w:val="0027431B"/>
    <w:rsid w:val="00287855"/>
    <w:rsid w:val="002920AC"/>
    <w:rsid w:val="00294316"/>
    <w:rsid w:val="002C515C"/>
    <w:rsid w:val="002C6ADA"/>
    <w:rsid w:val="002D0A2E"/>
    <w:rsid w:val="002D7699"/>
    <w:rsid w:val="002E3562"/>
    <w:rsid w:val="002E4026"/>
    <w:rsid w:val="002E4672"/>
    <w:rsid w:val="002F261C"/>
    <w:rsid w:val="003065EE"/>
    <w:rsid w:val="0032297A"/>
    <w:rsid w:val="00326F57"/>
    <w:rsid w:val="00332FF4"/>
    <w:rsid w:val="00356EAE"/>
    <w:rsid w:val="00363833"/>
    <w:rsid w:val="0036659A"/>
    <w:rsid w:val="003746D1"/>
    <w:rsid w:val="003B32BD"/>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2786"/>
    <w:rsid w:val="004A5B50"/>
    <w:rsid w:val="004B10B4"/>
    <w:rsid w:val="004B48E4"/>
    <w:rsid w:val="004B63F1"/>
    <w:rsid w:val="004B7059"/>
    <w:rsid w:val="004C7EF4"/>
    <w:rsid w:val="004D24E8"/>
    <w:rsid w:val="004D6DF2"/>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2AD2"/>
    <w:rsid w:val="005C3710"/>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B52D1"/>
    <w:rsid w:val="007C0E6B"/>
    <w:rsid w:val="007C392B"/>
    <w:rsid w:val="007D3667"/>
    <w:rsid w:val="007D3F6A"/>
    <w:rsid w:val="007E6C05"/>
    <w:rsid w:val="007F0D03"/>
    <w:rsid w:val="007F3ACB"/>
    <w:rsid w:val="00801152"/>
    <w:rsid w:val="0080484C"/>
    <w:rsid w:val="00817B80"/>
    <w:rsid w:val="00821610"/>
    <w:rsid w:val="00827A29"/>
    <w:rsid w:val="00835373"/>
    <w:rsid w:val="00835C68"/>
    <w:rsid w:val="00840BD5"/>
    <w:rsid w:val="00853E7D"/>
    <w:rsid w:val="00860FBA"/>
    <w:rsid w:val="00883931"/>
    <w:rsid w:val="008A1880"/>
    <w:rsid w:val="008C0CC7"/>
    <w:rsid w:val="008F6D62"/>
    <w:rsid w:val="00920032"/>
    <w:rsid w:val="00922BBA"/>
    <w:rsid w:val="00930C01"/>
    <w:rsid w:val="00933335"/>
    <w:rsid w:val="00933AC5"/>
    <w:rsid w:val="009369B2"/>
    <w:rsid w:val="00955691"/>
    <w:rsid w:val="00955D7A"/>
    <w:rsid w:val="00962549"/>
    <w:rsid w:val="00980AC4"/>
    <w:rsid w:val="00983286"/>
    <w:rsid w:val="00983FBD"/>
    <w:rsid w:val="00985B7B"/>
    <w:rsid w:val="00986A52"/>
    <w:rsid w:val="009A4F2F"/>
    <w:rsid w:val="009B0296"/>
    <w:rsid w:val="009B4D5D"/>
    <w:rsid w:val="009C2172"/>
    <w:rsid w:val="009C590C"/>
    <w:rsid w:val="009C5A06"/>
    <w:rsid w:val="009D3C1E"/>
    <w:rsid w:val="009E696B"/>
    <w:rsid w:val="009F191D"/>
    <w:rsid w:val="00A03E87"/>
    <w:rsid w:val="00A14C19"/>
    <w:rsid w:val="00A14EC1"/>
    <w:rsid w:val="00A2487E"/>
    <w:rsid w:val="00A263C9"/>
    <w:rsid w:val="00A41F93"/>
    <w:rsid w:val="00A429E9"/>
    <w:rsid w:val="00A4316B"/>
    <w:rsid w:val="00A436BB"/>
    <w:rsid w:val="00A446BC"/>
    <w:rsid w:val="00A45B6C"/>
    <w:rsid w:val="00A54C28"/>
    <w:rsid w:val="00A75ACF"/>
    <w:rsid w:val="00A80DBE"/>
    <w:rsid w:val="00A84F22"/>
    <w:rsid w:val="00AA483B"/>
    <w:rsid w:val="00AB0322"/>
    <w:rsid w:val="00AB1228"/>
    <w:rsid w:val="00AC5ED0"/>
    <w:rsid w:val="00AC7509"/>
    <w:rsid w:val="00AC79ED"/>
    <w:rsid w:val="00AD40AE"/>
    <w:rsid w:val="00AE2396"/>
    <w:rsid w:val="00AF5158"/>
    <w:rsid w:val="00AF63F4"/>
    <w:rsid w:val="00AF6E00"/>
    <w:rsid w:val="00AF77F1"/>
    <w:rsid w:val="00B03339"/>
    <w:rsid w:val="00B2524D"/>
    <w:rsid w:val="00B32C2E"/>
    <w:rsid w:val="00B37A42"/>
    <w:rsid w:val="00B66083"/>
    <w:rsid w:val="00B92E74"/>
    <w:rsid w:val="00BB0CE8"/>
    <w:rsid w:val="00BB3275"/>
    <w:rsid w:val="00BC35A3"/>
    <w:rsid w:val="00BC5A7C"/>
    <w:rsid w:val="00BD1771"/>
    <w:rsid w:val="00BE1CEB"/>
    <w:rsid w:val="00BE1E39"/>
    <w:rsid w:val="00BE5AF4"/>
    <w:rsid w:val="00BF5819"/>
    <w:rsid w:val="00BF63C3"/>
    <w:rsid w:val="00C0335E"/>
    <w:rsid w:val="00C0431D"/>
    <w:rsid w:val="00C0654A"/>
    <w:rsid w:val="00C1014F"/>
    <w:rsid w:val="00C32CBD"/>
    <w:rsid w:val="00C411EC"/>
    <w:rsid w:val="00C42DBF"/>
    <w:rsid w:val="00C52D40"/>
    <w:rsid w:val="00C54EBC"/>
    <w:rsid w:val="00C55123"/>
    <w:rsid w:val="00C629E5"/>
    <w:rsid w:val="00C70B2B"/>
    <w:rsid w:val="00C74112"/>
    <w:rsid w:val="00C912B9"/>
    <w:rsid w:val="00CB1FBE"/>
    <w:rsid w:val="00CB730C"/>
    <w:rsid w:val="00CC7A9E"/>
    <w:rsid w:val="00CE07AB"/>
    <w:rsid w:val="00CE2CAA"/>
    <w:rsid w:val="00CE5346"/>
    <w:rsid w:val="00D00E35"/>
    <w:rsid w:val="00D03326"/>
    <w:rsid w:val="00D11FC2"/>
    <w:rsid w:val="00D34E8F"/>
    <w:rsid w:val="00D37806"/>
    <w:rsid w:val="00D4143D"/>
    <w:rsid w:val="00D462BD"/>
    <w:rsid w:val="00D5375D"/>
    <w:rsid w:val="00D53A3D"/>
    <w:rsid w:val="00D61F8B"/>
    <w:rsid w:val="00D70C76"/>
    <w:rsid w:val="00DA5A25"/>
    <w:rsid w:val="00DA6B85"/>
    <w:rsid w:val="00DB0024"/>
    <w:rsid w:val="00DC1F12"/>
    <w:rsid w:val="00DD1882"/>
    <w:rsid w:val="00E14856"/>
    <w:rsid w:val="00E36635"/>
    <w:rsid w:val="00E36F3A"/>
    <w:rsid w:val="00E464B0"/>
    <w:rsid w:val="00E55E07"/>
    <w:rsid w:val="00E702C1"/>
    <w:rsid w:val="00E85A6B"/>
    <w:rsid w:val="00E86372"/>
    <w:rsid w:val="00EA326C"/>
    <w:rsid w:val="00EA6BD2"/>
    <w:rsid w:val="00EA7CF9"/>
    <w:rsid w:val="00EB3299"/>
    <w:rsid w:val="00ED048E"/>
    <w:rsid w:val="00ED10AD"/>
    <w:rsid w:val="00ED55A6"/>
    <w:rsid w:val="00ED5761"/>
    <w:rsid w:val="00EE475E"/>
    <w:rsid w:val="00F145F2"/>
    <w:rsid w:val="00F154FB"/>
    <w:rsid w:val="00F4442B"/>
    <w:rsid w:val="00F503E3"/>
    <w:rsid w:val="00F545EA"/>
    <w:rsid w:val="00F57736"/>
    <w:rsid w:val="00F67BB5"/>
    <w:rsid w:val="00F826BC"/>
    <w:rsid w:val="00F92D91"/>
    <w:rsid w:val="00F933BF"/>
    <w:rsid w:val="00FA1E03"/>
    <w:rsid w:val="00FA4598"/>
    <w:rsid w:val="00FB30A3"/>
    <w:rsid w:val="00FB4C3F"/>
    <w:rsid w:val="00FC3640"/>
    <w:rsid w:val="00FE0975"/>
    <w:rsid w:val="00FE20F7"/>
    <w:rsid w:val="00FE25D1"/>
    <w:rsid w:val="00FE37D9"/>
    <w:rsid w:val="00FF45DE"/>
    <w:rsid w:val="00FF6EDB"/>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353996"/>
  <w15:docId w15:val="{0C274DDB-A57E-4645-889A-F9AE34EB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basedOn w:val="Normal"/>
    <w:link w:val="FootnoteTextChar"/>
    <w:uiPriority w:val="99"/>
    <w:semiHidden/>
    <w:qFormat/>
    <w:rsid w:val="00471457"/>
  </w:style>
  <w:style w:type="character" w:customStyle="1" w:styleId="FootnoteTextChar">
    <w:name w:val="Footnote Text Char"/>
    <w:basedOn w:val="DefaultParagraphFont"/>
    <w:link w:val="FootnoteText"/>
    <w:uiPriority w:val="99"/>
    <w:semiHidden/>
    <w:rsid w:val="00471457"/>
    <w:rPr>
      <w:rFonts w:ascii="Verdana" w:eastAsia="Times New Roman" w:hAnsi="Verdana" w:cs="Times New Roman"/>
      <w:snapToGrid w:val="0"/>
      <w:sz w:val="20"/>
      <w:szCs w:val="20"/>
      <w:lang w:eastAsia="fi-FI"/>
    </w:rPr>
  </w:style>
  <w:style w:type="character" w:styleId="FootnoteReference">
    <w:name w:val="footnote reference"/>
    <w:aliases w:val="Footnote"/>
    <w:uiPriority w:val="99"/>
    <w:semiHidden/>
    <w:qFormat/>
    <w:rsid w:val="00471457"/>
    <w:rPr>
      <w:vertAlign w:val="superscript"/>
    </w:rPr>
  </w:style>
  <w:style w:type="paragraph" w:styleId="ListParagraph">
    <w:name w:val="List Paragraph"/>
    <w:basedOn w:val="Normal"/>
    <w:uiPriority w:val="34"/>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customStyle="1" w:styleId="Tabletext">
    <w:name w:val="Tabletext"/>
    <w:basedOn w:val="BodyText"/>
    <w:rsid w:val="00D34E8F"/>
    <w:pPr>
      <w:widowControl/>
      <w:spacing w:after="0"/>
    </w:pPr>
    <w:rPr>
      <w:rFonts w:cstheme="minorBidi"/>
      <w:snapToGrid/>
      <w:sz w:val="1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wmf"/></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3.xml><?xml version="1.0" encoding="utf-8"?>
<ds:datastoreItem xmlns:ds="http://schemas.openxmlformats.org/officeDocument/2006/customXml" ds:itemID="{FB8C6060-E70E-4A37-913A-A00BF7D052E3}">
  <ds:schemaRefs>
    <ds:schemaRef ds:uri="http://schemas.microsoft.com/office/2006/documentManagement/types"/>
    <ds:schemaRef ds:uri="http://purl.org/dc/terms/"/>
    <ds:schemaRef ds:uri="http://schemas.openxmlformats.org/package/2006/metadata/core-properties"/>
    <ds:schemaRef ds:uri="4811b924-dee2-413a-bdc8-2cc023473c17"/>
    <ds:schemaRef ds:uri="http://purl.org/dc/elements/1.1/"/>
    <ds:schemaRef ds:uri="http://schemas.microsoft.com/office/infopath/2007/PartnerControls"/>
    <ds:schemaRef ds:uri="http://www.w3.org/XML/1998/namespace"/>
    <ds:schemaRef ds:uri="b80ede5c-af4c-4bf2-9a87-706a3579dc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5.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6.xml><?xml version="1.0" encoding="utf-8"?>
<ds:datastoreItem xmlns:ds="http://schemas.openxmlformats.org/officeDocument/2006/customXml" ds:itemID="{4906AEB3-9C8F-46EF-A9D4-51613394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Dean, Richard</cp:lastModifiedBy>
  <cp:revision>5</cp:revision>
  <cp:lastPrinted>2015-08-11T11:20:00Z</cp:lastPrinted>
  <dcterms:created xsi:type="dcterms:W3CDTF">2019-10-25T13:39:00Z</dcterms:created>
  <dcterms:modified xsi:type="dcterms:W3CDTF">2019-11-19T17:15:00Z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