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7F4E38" w14:textId="410B16D0" w:rsidR="00961F4D" w:rsidRPr="008C195F" w:rsidRDefault="00C84E0C" w:rsidP="00961F4D">
      <w:pPr>
        <w:rPr>
          <w:rFonts w:ascii="Calibri" w:hAnsi="Calibri"/>
          <w:b/>
        </w:rPr>
      </w:pPr>
      <w:r w:rsidRPr="008C195F">
        <w:rPr>
          <w:rFonts w:ascii="Calibri" w:hAnsi="Calibri"/>
          <w:b/>
        </w:rPr>
        <w:object w:dxaOrig="9072" w:dyaOrig="3315" w14:anchorId="4F488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1FE87CCF" w14:textId="77777777" w:rsidR="00714080" w:rsidRPr="008C195F" w:rsidRDefault="00714080" w:rsidP="00714080">
      <w:pPr>
        <w:rPr>
          <w:rFonts w:ascii="Calibri" w:hAnsi="Calibri"/>
          <w:b/>
        </w:rPr>
      </w:pPr>
    </w:p>
    <w:p w14:paraId="3508C919" w14:textId="77777777" w:rsidR="00222660" w:rsidRPr="008C195F" w:rsidRDefault="00222660" w:rsidP="00472F75">
      <w:pPr>
        <w:numPr>
          <w:ilvl w:val="1"/>
          <w:numId w:val="9"/>
        </w:numPr>
        <w:rPr>
          <w:rFonts w:ascii="Calibri" w:hAnsi="Calibri"/>
          <w:b/>
        </w:rPr>
      </w:pPr>
      <w:r w:rsidRPr="008C195F">
        <w:rPr>
          <w:rFonts w:ascii="Calibri" w:hAnsi="Calibri"/>
          <w:b/>
        </w:rPr>
        <w:t>BESLUIT</w:t>
      </w:r>
    </w:p>
    <w:p w14:paraId="2D178AE4" w14:textId="77777777" w:rsidR="00222660" w:rsidRPr="008C195F" w:rsidRDefault="00222660" w:rsidP="00222660">
      <w:pPr>
        <w:rPr>
          <w:rFonts w:ascii="Calibri" w:hAnsi="Calibri"/>
          <w:b/>
        </w:rPr>
      </w:pPr>
    </w:p>
    <w:p w14:paraId="7B381940" w14:textId="4386587D" w:rsidR="00472F75" w:rsidRPr="008C195F" w:rsidRDefault="00472F75" w:rsidP="004977CE">
      <w:pPr>
        <w:pStyle w:val="Calibri11"/>
        <w:rPr>
          <w:rFonts w:cs="Arial"/>
        </w:rPr>
      </w:pPr>
      <w:r w:rsidRPr="008C195F">
        <w:t xml:space="preserve">Gelet op de aanvraag als bedoeld in artikel 32 van Verordening (EU) 528/2012, d.d. </w:t>
      </w:r>
      <w:r w:rsidR="005917D7">
        <w:t>25</w:t>
      </w:r>
      <w:r>
        <w:t xml:space="preserve"> maart 2020</w:t>
      </w:r>
      <w:r>
        <w:rPr>
          <w:rFonts w:cs="Arial"/>
        </w:rPr>
        <w:t xml:space="preserve"> </w:t>
      </w:r>
      <w:r w:rsidRPr="008C195F">
        <w:t>(</w:t>
      </w:r>
      <w:r w:rsidR="00B46F5D">
        <w:t>toelating</w:t>
      </w:r>
      <w:r>
        <w:t xml:space="preserve"> wederzijdse erkenning</w:t>
      </w:r>
      <w:r w:rsidR="00B46F5D">
        <w:t xml:space="preserve"> in </w:t>
      </w:r>
      <w:proofErr w:type="spellStart"/>
      <w:r w:rsidR="00B46F5D">
        <w:t>sequence</w:t>
      </w:r>
      <w:proofErr w:type="spellEnd"/>
      <w:r>
        <w:t xml:space="preserve"> biocidefamilie</w:t>
      </w:r>
      <w:r w:rsidRPr="008C195F">
        <w:t xml:space="preserve">) van </w:t>
      </w:r>
    </w:p>
    <w:p w14:paraId="322DB6F2" w14:textId="77777777" w:rsidR="00222660" w:rsidRPr="008C195F" w:rsidRDefault="00222660" w:rsidP="00222660">
      <w:pPr>
        <w:rPr>
          <w:rFonts w:ascii="Calibri" w:hAnsi="Calibri" w:cs="Arial"/>
        </w:rPr>
      </w:pPr>
    </w:p>
    <w:p w14:paraId="1ED01DC9" w14:textId="77777777" w:rsidR="00222660" w:rsidRPr="008C195F" w:rsidRDefault="00222660" w:rsidP="00222660">
      <w:pPr>
        <w:rPr>
          <w:rFonts w:ascii="Calibri" w:hAnsi="Calibri"/>
          <w:b/>
        </w:rPr>
      </w:pPr>
    </w:p>
    <w:p w14:paraId="31136084" w14:textId="77777777" w:rsidR="00B31648" w:rsidRPr="001E0B0C" w:rsidRDefault="00B31648" w:rsidP="004977CE">
      <w:pPr>
        <w:pStyle w:val="Calibri11"/>
        <w:ind w:firstLine="1418"/>
        <w:rPr>
          <w:lang w:val="en-US"/>
        </w:rPr>
      </w:pPr>
      <w:r w:rsidRPr="001E0B0C">
        <w:rPr>
          <w:lang w:val="en-US"/>
        </w:rPr>
        <w:t>Rentokil Initial Limited</w:t>
      </w:r>
    </w:p>
    <w:p w14:paraId="4F6A8025" w14:textId="7E38D07D" w:rsidR="00B31648" w:rsidRPr="001E0B0C" w:rsidRDefault="00B31648" w:rsidP="004977CE">
      <w:pPr>
        <w:pStyle w:val="Calibri11"/>
        <w:ind w:firstLine="1418"/>
        <w:rPr>
          <w:lang w:val="en-US"/>
        </w:rPr>
      </w:pPr>
      <w:r w:rsidRPr="001E0B0C">
        <w:rPr>
          <w:lang w:val="en-US"/>
        </w:rPr>
        <w:t>Hazel House, Mille</w:t>
      </w:r>
      <w:r w:rsidR="00C84E0C">
        <w:rPr>
          <w:lang w:val="en-US"/>
        </w:rPr>
        <w:t>n</w:t>
      </w:r>
      <w:r w:rsidRPr="001E0B0C">
        <w:rPr>
          <w:lang w:val="en-US"/>
        </w:rPr>
        <w:t xml:space="preserve">nium Park  </w:t>
      </w:r>
    </w:p>
    <w:p w14:paraId="43C2DD43" w14:textId="07EB366F" w:rsidR="00B31648" w:rsidRPr="00B31648" w:rsidRDefault="00B31648" w:rsidP="004977CE">
      <w:pPr>
        <w:pStyle w:val="Calibri11"/>
        <w:ind w:firstLine="1418"/>
      </w:pPr>
      <w:r>
        <w:t xml:space="preserve">NAAS, Co </w:t>
      </w:r>
      <w:proofErr w:type="spellStart"/>
      <w:r>
        <w:t>Kildare</w:t>
      </w:r>
      <w:proofErr w:type="spellEnd"/>
    </w:p>
    <w:p w14:paraId="25AF3AAB" w14:textId="77777777" w:rsidR="00222660" w:rsidRPr="008C195F" w:rsidRDefault="00B31648" w:rsidP="004977CE">
      <w:pPr>
        <w:pStyle w:val="Calibri11"/>
        <w:ind w:firstLine="1418"/>
      </w:pPr>
      <w:r>
        <w:t>Ireland</w:t>
      </w:r>
    </w:p>
    <w:p w14:paraId="4E6A781B" w14:textId="77777777" w:rsidR="00222660" w:rsidRPr="008C195F" w:rsidRDefault="00222660" w:rsidP="00222660">
      <w:pPr>
        <w:rPr>
          <w:rFonts w:ascii="Calibri" w:hAnsi="Calibri"/>
          <w:b/>
        </w:rPr>
      </w:pPr>
    </w:p>
    <w:p w14:paraId="658E704F" w14:textId="77777777" w:rsidR="00472F75" w:rsidRPr="008C195F" w:rsidRDefault="00472F75" w:rsidP="00222660">
      <w:pPr>
        <w:rPr>
          <w:rFonts w:ascii="Calibri" w:hAnsi="Calibri"/>
          <w:bCs/>
        </w:rPr>
      </w:pPr>
    </w:p>
    <w:p w14:paraId="24777200" w14:textId="424EA68C" w:rsidR="00222660" w:rsidRPr="008C195F" w:rsidRDefault="00472F75" w:rsidP="00222660">
      <w:pPr>
        <w:rPr>
          <w:rFonts w:ascii="Calibri" w:hAnsi="Calibri"/>
          <w:b/>
        </w:rPr>
      </w:pPr>
      <w:r w:rsidRPr="008C195F">
        <w:rPr>
          <w:rFonts w:ascii="Calibri" w:hAnsi="Calibri" w:cs="Arial"/>
          <w:spacing w:val="-2"/>
        </w:rPr>
        <w:t xml:space="preserve">tot verkrijging van een toelating als bedoeld in artikel 19 van de Verordening (EU) 528/2012, voor </w:t>
      </w:r>
      <w:r w:rsidR="00333FB5">
        <w:rPr>
          <w:rFonts w:ascii="Calibri" w:hAnsi="Calibri" w:cs="Arial"/>
          <w:spacing w:val="-2"/>
        </w:rPr>
        <w:t>de</w:t>
      </w:r>
      <w:r w:rsidRPr="008C195F">
        <w:rPr>
          <w:rFonts w:ascii="Calibri" w:hAnsi="Calibri" w:cs="Arial"/>
          <w:spacing w:val="-2"/>
        </w:rPr>
        <w:t xml:space="preserve"> biocide</w:t>
      </w:r>
      <w:r w:rsidR="00333FB5">
        <w:rPr>
          <w:rFonts w:ascii="Calibri" w:hAnsi="Calibri" w:cs="Arial"/>
          <w:spacing w:val="-2"/>
        </w:rPr>
        <w:t>familie</w:t>
      </w:r>
      <w:r w:rsidRPr="008C195F">
        <w:rPr>
          <w:rFonts w:ascii="Calibri" w:hAnsi="Calibri" w:cs="Arial"/>
          <w:spacing w:val="-2"/>
        </w:rPr>
        <w:t xml:space="preserve"> </w:t>
      </w:r>
    </w:p>
    <w:p w14:paraId="155D21AD" w14:textId="77777777" w:rsidR="00472F75" w:rsidRPr="008C195F" w:rsidRDefault="00472F75" w:rsidP="00222660">
      <w:pPr>
        <w:rPr>
          <w:rFonts w:ascii="Calibri" w:hAnsi="Calibri"/>
          <w:b/>
        </w:rPr>
      </w:pPr>
    </w:p>
    <w:p w14:paraId="30E19BC0" w14:textId="77777777" w:rsidR="00222660" w:rsidRPr="008C195F" w:rsidRDefault="00222660" w:rsidP="004977CE">
      <w:pPr>
        <w:pStyle w:val="Calibri11"/>
        <w:ind w:firstLine="2835"/>
        <w:rPr>
          <w:b/>
          <w:bCs/>
        </w:rPr>
      </w:pPr>
      <w:r>
        <w:t>Brodifacoum Family - PT14</w:t>
      </w:r>
    </w:p>
    <w:p w14:paraId="5A20ED8A" w14:textId="77777777" w:rsidR="00222660" w:rsidRPr="008C195F" w:rsidRDefault="00222660" w:rsidP="004977CE">
      <w:pPr>
        <w:pStyle w:val="Calibri11"/>
        <w:rPr>
          <w:b/>
        </w:rPr>
      </w:pPr>
    </w:p>
    <w:p w14:paraId="57A491F6" w14:textId="69FE8AB1" w:rsidR="00222660" w:rsidRPr="008C195F" w:rsidRDefault="00222660" w:rsidP="004977CE">
      <w:pPr>
        <w:pStyle w:val="Calibri11"/>
        <w:rPr>
          <w:bCs/>
        </w:rPr>
      </w:pPr>
      <w:r w:rsidRPr="008C195F">
        <w:rPr>
          <w:bCs/>
        </w:rPr>
        <w:t>op basis van de werkzame stof</w:t>
      </w:r>
      <w:r>
        <w:t xml:space="preserve"> </w:t>
      </w:r>
      <w:proofErr w:type="spellStart"/>
      <w:r w:rsidR="006B1B85">
        <w:t>b</w:t>
      </w:r>
      <w:r w:rsidR="005917D7">
        <w:t>rodifacoum</w:t>
      </w:r>
      <w:proofErr w:type="spellEnd"/>
    </w:p>
    <w:p w14:paraId="5F8079B6" w14:textId="77777777" w:rsidR="00222660" w:rsidRPr="008C195F" w:rsidRDefault="00222660" w:rsidP="00222660">
      <w:pPr>
        <w:rPr>
          <w:rFonts w:ascii="Calibri" w:hAnsi="Calibri"/>
          <w:b/>
        </w:rPr>
      </w:pPr>
    </w:p>
    <w:p w14:paraId="5ECA11CF" w14:textId="77777777" w:rsidR="00472F75" w:rsidRPr="008C195F" w:rsidRDefault="00472F75" w:rsidP="00222660">
      <w:pPr>
        <w:rPr>
          <w:rFonts w:ascii="Calibri" w:hAnsi="Calibri"/>
          <w:b/>
        </w:rPr>
      </w:pPr>
    </w:p>
    <w:p w14:paraId="091A121C" w14:textId="77777777" w:rsidR="00222660" w:rsidRPr="008C195F" w:rsidRDefault="00BF2211" w:rsidP="00222660">
      <w:pPr>
        <w:rPr>
          <w:rFonts w:ascii="Calibri" w:hAnsi="Calibri" w:cs="Arial"/>
        </w:rPr>
      </w:pPr>
      <w:r w:rsidRPr="008C195F">
        <w:rPr>
          <w:rFonts w:ascii="Calibri" w:hAnsi="Calibri" w:cs="Arial"/>
          <w:b/>
        </w:rPr>
        <w:t xml:space="preserve">BESLUIT </w:t>
      </w:r>
      <w:r w:rsidR="00472F75" w:rsidRPr="008C195F">
        <w:rPr>
          <w:rFonts w:ascii="Calibri" w:hAnsi="Calibri" w:cs="Arial"/>
          <w:b/>
        </w:rPr>
        <w:t xml:space="preserve">HET COLLEGE </w:t>
      </w:r>
      <w:r w:rsidR="00472F75" w:rsidRPr="008C195F">
        <w:rPr>
          <w:rFonts w:ascii="Calibri" w:hAnsi="Calibri" w:cs="Arial"/>
        </w:rPr>
        <w:t>als volgt:</w:t>
      </w:r>
    </w:p>
    <w:p w14:paraId="18944DC1" w14:textId="77777777" w:rsidR="007505FE" w:rsidRPr="008C195F" w:rsidRDefault="007505FE" w:rsidP="00222660">
      <w:pPr>
        <w:rPr>
          <w:rFonts w:ascii="Calibri" w:hAnsi="Calibri"/>
        </w:rPr>
      </w:pPr>
    </w:p>
    <w:p w14:paraId="0C779DB0" w14:textId="77777777" w:rsidR="007505FE" w:rsidRPr="008C195F" w:rsidRDefault="007505FE" w:rsidP="007505FE">
      <w:pPr>
        <w:overflowPunct w:val="0"/>
        <w:autoSpaceDE w:val="0"/>
        <w:autoSpaceDN w:val="0"/>
        <w:adjustRightInd w:val="0"/>
        <w:textAlignment w:val="baseline"/>
        <w:rPr>
          <w:rFonts w:ascii="Calibri" w:hAnsi="Calibri"/>
          <w:b/>
        </w:rPr>
      </w:pPr>
      <w:r w:rsidRPr="008C195F">
        <w:rPr>
          <w:rFonts w:ascii="Calibri" w:hAnsi="Calibri"/>
          <w:b/>
        </w:rPr>
        <w:t>1.1 Toepassingen</w:t>
      </w:r>
    </w:p>
    <w:p w14:paraId="2B6F9AF3" w14:textId="186A5B89" w:rsidR="008B7B80" w:rsidRDefault="00B46F5D" w:rsidP="00A11091">
      <w:pPr>
        <w:pStyle w:val="Calibri11"/>
      </w:pPr>
      <w:r>
        <w:t xml:space="preserve">De </w:t>
      </w:r>
      <w:r w:rsidR="009771CA">
        <w:t xml:space="preserve">middelen in de </w:t>
      </w:r>
      <w:proofErr w:type="spellStart"/>
      <w:r w:rsidR="009771CA">
        <w:t>biocidenfamilie</w:t>
      </w:r>
      <w:proofErr w:type="spellEnd"/>
      <w:r w:rsidR="009771CA">
        <w:t>,</w:t>
      </w:r>
      <w:r>
        <w:t xml:space="preserve"> </w:t>
      </w:r>
      <w:proofErr w:type="spellStart"/>
      <w:r w:rsidR="007505FE">
        <w:t>Brodifacoum</w:t>
      </w:r>
      <w:proofErr w:type="spellEnd"/>
      <w:r w:rsidR="007505FE">
        <w:t xml:space="preserve"> Family - PT14</w:t>
      </w:r>
      <w:r w:rsidR="009771CA">
        <w:t>,</w:t>
      </w:r>
      <w:r w:rsidR="007505FE">
        <w:t xml:space="preserve">  word</w:t>
      </w:r>
      <w:r w:rsidR="009771CA">
        <w:t>en</w:t>
      </w:r>
      <w:r w:rsidR="007505FE">
        <w:t xml:space="preserve"> toegelaten als </w:t>
      </w:r>
      <w:proofErr w:type="spellStart"/>
      <w:r>
        <w:t>rodenticide</w:t>
      </w:r>
      <w:proofErr w:type="spellEnd"/>
      <w:r w:rsidR="009771CA">
        <w:t xml:space="preserve"> voor de bestrijding van</w:t>
      </w:r>
      <w:r w:rsidR="008B7B80">
        <w:t xml:space="preserve"> bruine</w:t>
      </w:r>
      <w:r w:rsidR="009771CA">
        <w:t xml:space="preserve"> ratten en </w:t>
      </w:r>
      <w:r w:rsidR="008B7B80">
        <w:t>huis</w:t>
      </w:r>
      <w:r w:rsidR="009771CA">
        <w:t xml:space="preserve">muizen </w:t>
      </w:r>
      <w:r w:rsidR="007505FE" w:rsidRPr="00A11091">
        <w:t>voor de in bijlage I genoemde toepassingen</w:t>
      </w:r>
      <w:r w:rsidR="007505FE" w:rsidRPr="008C195F">
        <w:t>.</w:t>
      </w:r>
      <w:r w:rsidR="009771CA">
        <w:t xml:space="preserve"> </w:t>
      </w:r>
    </w:p>
    <w:p w14:paraId="6B6988F3" w14:textId="77777777" w:rsidR="008B7B80" w:rsidRDefault="008B7B80" w:rsidP="00A11091">
      <w:pPr>
        <w:pStyle w:val="Calibri11"/>
      </w:pPr>
    </w:p>
    <w:p w14:paraId="78CC614F" w14:textId="7211AC91" w:rsidR="009771CA" w:rsidRDefault="009771CA" w:rsidP="00A11091">
      <w:pPr>
        <w:pStyle w:val="Calibri11"/>
      </w:pPr>
      <w:proofErr w:type="spellStart"/>
      <w:r>
        <w:t>Brodifacoum</w:t>
      </w:r>
      <w:proofErr w:type="spellEnd"/>
      <w:r>
        <w:t xml:space="preserve"> Family</w:t>
      </w:r>
      <w:r w:rsidR="008B7B80">
        <w:t xml:space="preserve"> - </w:t>
      </w:r>
      <w:r>
        <w:t xml:space="preserve">PT14 zal worden toegelaten </w:t>
      </w:r>
      <w:r w:rsidRPr="00A11091">
        <w:t>onder nummer NL-</w:t>
      </w:r>
      <w:r>
        <w:rPr>
          <w:rStyle w:val="frmlbl4"/>
        </w:rPr>
        <w:t>0023660-0000</w:t>
      </w:r>
      <w:r>
        <w:t xml:space="preserve"> en de middelen bevatten de volgende handelsnamen</w:t>
      </w:r>
      <w:r w:rsidR="008B7B80">
        <w:t xml:space="preserve"> en toelatingsnummers</w:t>
      </w:r>
      <w:r>
        <w:t>:</w:t>
      </w:r>
    </w:p>
    <w:p w14:paraId="2B1630A9" w14:textId="77777777" w:rsidR="002F5B25" w:rsidRDefault="002F5B25" w:rsidP="00A11091">
      <w:pPr>
        <w:pStyle w:val="Calibri11"/>
      </w:pPr>
    </w:p>
    <w:tbl>
      <w:tblPr>
        <w:tblStyle w:val="Tabelraster"/>
        <w:tblW w:w="0" w:type="auto"/>
        <w:tblLook w:val="04A0" w:firstRow="1" w:lastRow="0" w:firstColumn="1" w:lastColumn="0" w:noHBand="0" w:noVBand="1"/>
      </w:tblPr>
      <w:tblGrid>
        <w:gridCol w:w="3114"/>
        <w:gridCol w:w="3115"/>
        <w:gridCol w:w="3115"/>
      </w:tblGrid>
      <w:tr w:rsidR="009771CA" w14:paraId="6473FB13" w14:textId="77777777" w:rsidTr="009771CA">
        <w:tc>
          <w:tcPr>
            <w:tcW w:w="3114" w:type="dxa"/>
          </w:tcPr>
          <w:p w14:paraId="09CC1072" w14:textId="79B77633" w:rsidR="009771CA" w:rsidRDefault="009771CA" w:rsidP="00A11091">
            <w:pPr>
              <w:pStyle w:val="Calibri11"/>
              <w:rPr>
                <w:b/>
              </w:rPr>
            </w:pPr>
            <w:r>
              <w:rPr>
                <w:b/>
              </w:rPr>
              <w:t>Handelsnamen</w:t>
            </w:r>
          </w:p>
        </w:tc>
        <w:tc>
          <w:tcPr>
            <w:tcW w:w="3115" w:type="dxa"/>
          </w:tcPr>
          <w:p w14:paraId="749F9D9B" w14:textId="283BF198" w:rsidR="009771CA" w:rsidRDefault="009771CA" w:rsidP="00A11091">
            <w:pPr>
              <w:pStyle w:val="Calibri11"/>
              <w:rPr>
                <w:b/>
              </w:rPr>
            </w:pPr>
            <w:r>
              <w:rPr>
                <w:b/>
              </w:rPr>
              <w:t>Meta SPC</w:t>
            </w:r>
          </w:p>
        </w:tc>
        <w:tc>
          <w:tcPr>
            <w:tcW w:w="3115" w:type="dxa"/>
          </w:tcPr>
          <w:p w14:paraId="2A6E4C5B" w14:textId="70F670D2" w:rsidR="009771CA" w:rsidRDefault="009771CA" w:rsidP="00A11091">
            <w:pPr>
              <w:pStyle w:val="Calibri11"/>
              <w:rPr>
                <w:b/>
              </w:rPr>
            </w:pPr>
            <w:r>
              <w:rPr>
                <w:b/>
              </w:rPr>
              <w:t>Toelatingsnummer</w:t>
            </w:r>
          </w:p>
        </w:tc>
      </w:tr>
      <w:tr w:rsidR="009771CA" w14:paraId="2AD2579D" w14:textId="77777777" w:rsidTr="009771CA">
        <w:tc>
          <w:tcPr>
            <w:tcW w:w="3114" w:type="dxa"/>
          </w:tcPr>
          <w:p w14:paraId="5073F4B3" w14:textId="35209711" w:rsidR="009771CA" w:rsidRPr="008B7B80" w:rsidRDefault="00067E0F" w:rsidP="00A11091">
            <w:pPr>
              <w:pStyle w:val="Calibri11"/>
            </w:pPr>
            <w:proofErr w:type="spellStart"/>
            <w:r w:rsidRPr="008B7B80">
              <w:t>Brodifacoum</w:t>
            </w:r>
            <w:proofErr w:type="spellEnd"/>
            <w:r w:rsidRPr="008B7B80">
              <w:t xml:space="preserve"> </w:t>
            </w:r>
            <w:proofErr w:type="spellStart"/>
            <w:r w:rsidRPr="008B7B80">
              <w:t>Grain</w:t>
            </w:r>
            <w:proofErr w:type="spellEnd"/>
            <w:r w:rsidRPr="008B7B80">
              <w:t xml:space="preserve"> / </w:t>
            </w:r>
            <w:proofErr w:type="spellStart"/>
            <w:r w:rsidRPr="008B7B80">
              <w:t>Klerat®M</w:t>
            </w:r>
            <w:proofErr w:type="spellEnd"/>
            <w:r w:rsidRPr="008B7B80">
              <w:t xml:space="preserve"> / </w:t>
            </w:r>
            <w:proofErr w:type="spellStart"/>
            <w:r w:rsidRPr="008B7B80">
              <w:t>Talon®M</w:t>
            </w:r>
            <w:proofErr w:type="spellEnd"/>
          </w:p>
        </w:tc>
        <w:tc>
          <w:tcPr>
            <w:tcW w:w="3115" w:type="dxa"/>
          </w:tcPr>
          <w:p w14:paraId="0B7F46FB" w14:textId="3963E1EC" w:rsidR="009771CA" w:rsidRPr="008B7B80" w:rsidRDefault="008B7B80" w:rsidP="00A11091">
            <w:pPr>
              <w:pStyle w:val="Calibri11"/>
            </w:pPr>
            <w:r w:rsidRPr="008B7B80">
              <w:t>Meta SPC 1:</w:t>
            </w:r>
            <w:r w:rsidR="001E0774" w:rsidRPr="008B7B80">
              <w:t xml:space="preserve"> graan</w:t>
            </w:r>
          </w:p>
        </w:tc>
        <w:tc>
          <w:tcPr>
            <w:tcW w:w="3115" w:type="dxa"/>
          </w:tcPr>
          <w:p w14:paraId="2CD2B765" w14:textId="3AC2A935" w:rsidR="009771CA" w:rsidRDefault="008B7B80" w:rsidP="00A11091">
            <w:pPr>
              <w:pStyle w:val="Calibri11"/>
              <w:rPr>
                <w:b/>
              </w:rPr>
            </w:pPr>
            <w:r w:rsidRPr="00A11091">
              <w:t>NL-</w:t>
            </w:r>
            <w:r>
              <w:rPr>
                <w:rStyle w:val="frmlbl4"/>
              </w:rPr>
              <w:t>0023660-0001</w:t>
            </w:r>
          </w:p>
        </w:tc>
      </w:tr>
      <w:tr w:rsidR="009771CA" w14:paraId="3199398A" w14:textId="77777777" w:rsidTr="009771CA">
        <w:tc>
          <w:tcPr>
            <w:tcW w:w="3114" w:type="dxa"/>
          </w:tcPr>
          <w:p w14:paraId="6277E52B" w14:textId="47B240A3" w:rsidR="009771CA" w:rsidRPr="008B7B80" w:rsidRDefault="008B7B80" w:rsidP="00A11091">
            <w:pPr>
              <w:pStyle w:val="Calibri11"/>
            </w:pPr>
            <w:proofErr w:type="spellStart"/>
            <w:r w:rsidRPr="008B7B80">
              <w:t>Brodifacoum</w:t>
            </w:r>
            <w:proofErr w:type="spellEnd"/>
            <w:r w:rsidRPr="008B7B80">
              <w:t xml:space="preserve"> </w:t>
            </w:r>
            <w:proofErr w:type="spellStart"/>
            <w:r w:rsidRPr="008B7B80">
              <w:t>Bait</w:t>
            </w:r>
            <w:proofErr w:type="spellEnd"/>
            <w:r w:rsidRPr="008B7B80">
              <w:t xml:space="preserve"> Blocks</w:t>
            </w:r>
          </w:p>
        </w:tc>
        <w:tc>
          <w:tcPr>
            <w:tcW w:w="3115" w:type="dxa"/>
          </w:tcPr>
          <w:p w14:paraId="2C9F993C" w14:textId="394CFFC0" w:rsidR="009771CA" w:rsidRPr="008B7B80" w:rsidRDefault="008B7B80" w:rsidP="00A11091">
            <w:pPr>
              <w:pStyle w:val="Calibri11"/>
            </w:pPr>
            <w:r w:rsidRPr="008B7B80">
              <w:t xml:space="preserve">Meta SPC </w:t>
            </w:r>
            <w:r w:rsidR="00B30510" w:rsidRPr="008B7B80">
              <w:t>2</w:t>
            </w:r>
            <w:r w:rsidRPr="008B7B80">
              <w:t>: blok</w:t>
            </w:r>
          </w:p>
        </w:tc>
        <w:tc>
          <w:tcPr>
            <w:tcW w:w="3115" w:type="dxa"/>
          </w:tcPr>
          <w:p w14:paraId="01C65AE2" w14:textId="7DAADD95" w:rsidR="009771CA" w:rsidRDefault="008B7B80" w:rsidP="00A11091">
            <w:pPr>
              <w:pStyle w:val="Calibri11"/>
              <w:rPr>
                <w:b/>
              </w:rPr>
            </w:pPr>
            <w:r w:rsidRPr="00A11091">
              <w:t>NL-</w:t>
            </w:r>
            <w:r>
              <w:rPr>
                <w:rStyle w:val="frmlbl4"/>
              </w:rPr>
              <w:t>0023660-0002</w:t>
            </w:r>
          </w:p>
        </w:tc>
      </w:tr>
      <w:tr w:rsidR="009771CA" w14:paraId="2B654784" w14:textId="77777777" w:rsidTr="009771CA">
        <w:tc>
          <w:tcPr>
            <w:tcW w:w="3114" w:type="dxa"/>
          </w:tcPr>
          <w:p w14:paraId="5E4127C5" w14:textId="737B4EEA" w:rsidR="009771CA" w:rsidRPr="00C84E0C" w:rsidRDefault="008B7B80" w:rsidP="00A11091">
            <w:pPr>
              <w:pStyle w:val="Calibri11"/>
              <w:rPr>
                <w:lang w:val="en-US"/>
              </w:rPr>
            </w:pPr>
            <w:r w:rsidRPr="00C84E0C">
              <w:rPr>
                <w:lang w:val="en-US"/>
              </w:rPr>
              <w:t>Brodifacoum 25 Paste</w:t>
            </w:r>
            <w:r w:rsidR="00C84E0C" w:rsidRPr="00C84E0C">
              <w:rPr>
                <w:lang w:val="en-US"/>
              </w:rPr>
              <w:t xml:space="preserve"> / Talon </w:t>
            </w:r>
            <w:proofErr w:type="spellStart"/>
            <w:r w:rsidR="00C84E0C" w:rsidRPr="00C84E0C">
              <w:rPr>
                <w:lang w:val="en-US"/>
              </w:rPr>
              <w:t>Soft®XT</w:t>
            </w:r>
            <w:proofErr w:type="spellEnd"/>
          </w:p>
        </w:tc>
        <w:tc>
          <w:tcPr>
            <w:tcW w:w="3115" w:type="dxa"/>
          </w:tcPr>
          <w:p w14:paraId="049F89BC" w14:textId="4AAE2E98" w:rsidR="009771CA" w:rsidRPr="008B7B80" w:rsidRDefault="008B7B80" w:rsidP="00A11091">
            <w:pPr>
              <w:pStyle w:val="Calibri11"/>
            </w:pPr>
            <w:r w:rsidRPr="008B7B80">
              <w:t xml:space="preserve">Meta SPC </w:t>
            </w:r>
            <w:r w:rsidR="00B30510" w:rsidRPr="008B7B80">
              <w:t>3</w:t>
            </w:r>
            <w:r w:rsidRPr="008B7B80">
              <w:t>: pasta</w:t>
            </w:r>
          </w:p>
        </w:tc>
        <w:tc>
          <w:tcPr>
            <w:tcW w:w="3115" w:type="dxa"/>
          </w:tcPr>
          <w:p w14:paraId="7773AA9D" w14:textId="01DA173C" w:rsidR="009771CA" w:rsidRDefault="008B7B80" w:rsidP="00A11091">
            <w:pPr>
              <w:pStyle w:val="Calibri11"/>
              <w:rPr>
                <w:b/>
              </w:rPr>
            </w:pPr>
            <w:r w:rsidRPr="00A11091">
              <w:t>NL-</w:t>
            </w:r>
            <w:r>
              <w:rPr>
                <w:rStyle w:val="frmlbl4"/>
              </w:rPr>
              <w:t>0023660-0003</w:t>
            </w:r>
          </w:p>
        </w:tc>
      </w:tr>
      <w:tr w:rsidR="009771CA" w14:paraId="34294B03" w14:textId="77777777" w:rsidTr="009771CA">
        <w:tc>
          <w:tcPr>
            <w:tcW w:w="3114" w:type="dxa"/>
          </w:tcPr>
          <w:p w14:paraId="67755DCE" w14:textId="18074FE5" w:rsidR="009771CA" w:rsidRPr="008B7B80" w:rsidRDefault="008B7B80" w:rsidP="00A11091">
            <w:pPr>
              <w:pStyle w:val="Calibri11"/>
            </w:pPr>
            <w:proofErr w:type="spellStart"/>
            <w:r w:rsidRPr="008B7B80">
              <w:t>Brodifacoum</w:t>
            </w:r>
            <w:proofErr w:type="spellEnd"/>
            <w:r w:rsidRPr="008B7B80">
              <w:t xml:space="preserve"> Soft </w:t>
            </w:r>
            <w:proofErr w:type="spellStart"/>
            <w:r w:rsidRPr="008B7B80">
              <w:t>Bait</w:t>
            </w:r>
            <w:proofErr w:type="spellEnd"/>
          </w:p>
        </w:tc>
        <w:tc>
          <w:tcPr>
            <w:tcW w:w="3115" w:type="dxa"/>
          </w:tcPr>
          <w:p w14:paraId="1C9C9349" w14:textId="0B881E87" w:rsidR="009771CA" w:rsidRPr="008B7B80" w:rsidRDefault="008B7B80" w:rsidP="00A11091">
            <w:pPr>
              <w:pStyle w:val="Calibri11"/>
            </w:pPr>
            <w:r w:rsidRPr="008B7B80">
              <w:t xml:space="preserve">Meta SPC </w:t>
            </w:r>
            <w:r w:rsidR="00B30510" w:rsidRPr="008B7B80">
              <w:t>4</w:t>
            </w:r>
            <w:r w:rsidRPr="008B7B80">
              <w:t>: pasta</w:t>
            </w:r>
          </w:p>
        </w:tc>
        <w:tc>
          <w:tcPr>
            <w:tcW w:w="3115" w:type="dxa"/>
          </w:tcPr>
          <w:p w14:paraId="3DCB1D21" w14:textId="4041C891" w:rsidR="009771CA" w:rsidRDefault="008B7B80" w:rsidP="00A11091">
            <w:pPr>
              <w:pStyle w:val="Calibri11"/>
              <w:rPr>
                <w:b/>
              </w:rPr>
            </w:pPr>
            <w:r w:rsidRPr="00A11091">
              <w:t>NL-</w:t>
            </w:r>
            <w:r>
              <w:rPr>
                <w:rStyle w:val="frmlbl4"/>
              </w:rPr>
              <w:t>0023660-0004</w:t>
            </w:r>
          </w:p>
        </w:tc>
      </w:tr>
    </w:tbl>
    <w:p w14:paraId="0B395B63" w14:textId="77777777" w:rsidR="009771CA" w:rsidRPr="008C195F" w:rsidRDefault="009771CA" w:rsidP="00A11091">
      <w:pPr>
        <w:pStyle w:val="Calibri11"/>
        <w:rPr>
          <w:b/>
        </w:rPr>
      </w:pPr>
    </w:p>
    <w:p w14:paraId="01BFF700" w14:textId="77777777" w:rsidR="00472F75" w:rsidRPr="008C195F" w:rsidRDefault="00472F75" w:rsidP="00472F75">
      <w:pPr>
        <w:rPr>
          <w:rFonts w:ascii="Calibri" w:hAnsi="Calibri"/>
          <w:b/>
        </w:rPr>
      </w:pPr>
    </w:p>
    <w:p w14:paraId="3C737C57" w14:textId="77777777" w:rsidR="00472F75" w:rsidRPr="008C195F" w:rsidRDefault="00472F75" w:rsidP="00472F75">
      <w:pPr>
        <w:overflowPunct w:val="0"/>
        <w:autoSpaceDE w:val="0"/>
        <w:autoSpaceDN w:val="0"/>
        <w:adjustRightInd w:val="0"/>
        <w:textAlignment w:val="baseline"/>
        <w:rPr>
          <w:rFonts w:ascii="Calibri" w:hAnsi="Calibri"/>
          <w:b/>
        </w:rPr>
      </w:pPr>
      <w:r w:rsidRPr="008C195F">
        <w:rPr>
          <w:rFonts w:ascii="Calibri" w:hAnsi="Calibri"/>
          <w:b/>
        </w:rPr>
        <w:t>1.2  Expiratiedatum</w:t>
      </w:r>
    </w:p>
    <w:p w14:paraId="3575D812" w14:textId="352488ED" w:rsidR="00472F75" w:rsidRPr="008C195F" w:rsidRDefault="00472F75" w:rsidP="004977CE">
      <w:pPr>
        <w:pStyle w:val="Calibri11"/>
      </w:pPr>
      <w:r w:rsidRPr="008C195F">
        <w:t xml:space="preserve">De toelating eindigt </w:t>
      </w:r>
      <w:r w:rsidR="00B46F5D">
        <w:t>op 1 februari 2023</w:t>
      </w:r>
      <w:r w:rsidRPr="008C195F">
        <w:t>.</w:t>
      </w:r>
    </w:p>
    <w:p w14:paraId="04EEF971" w14:textId="77777777" w:rsidR="00472F75" w:rsidRPr="008C195F" w:rsidRDefault="00472F75" w:rsidP="00472F75">
      <w:pPr>
        <w:rPr>
          <w:rFonts w:ascii="Calibri" w:hAnsi="Calibri"/>
          <w:b/>
        </w:rPr>
      </w:pPr>
    </w:p>
    <w:p w14:paraId="5EE421CA" w14:textId="77777777" w:rsidR="00472F75" w:rsidRPr="008C195F" w:rsidRDefault="00472F75" w:rsidP="00472F75">
      <w:pPr>
        <w:rPr>
          <w:rStyle w:val="Opmaakprofiel10ptVet"/>
          <w:rFonts w:ascii="Calibri" w:hAnsi="Calibri"/>
          <w:spacing w:val="-2"/>
        </w:rPr>
      </w:pPr>
      <w:r w:rsidRPr="008C195F">
        <w:rPr>
          <w:rStyle w:val="Opmaakprofiel10ptVet"/>
          <w:rFonts w:ascii="Calibri" w:hAnsi="Calibri"/>
          <w:spacing w:val="-2"/>
        </w:rPr>
        <w:t>1.3 Samenvatting van Productkenmerken (SPC)</w:t>
      </w:r>
    </w:p>
    <w:p w14:paraId="70F135FF" w14:textId="77777777"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70B15BE3" w14:textId="6C6A1C60"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 xml:space="preserve">Bijlage I omvat een Summary of Product Characteristics (SPC) voor </w:t>
      </w:r>
      <w:r w:rsidR="002F5B25">
        <w:rPr>
          <w:rStyle w:val="Opmaakprofiel10ptVet"/>
          <w:rFonts w:ascii="Calibri" w:hAnsi="Calibri"/>
          <w:b w:val="0"/>
          <w:spacing w:val="-2"/>
        </w:rPr>
        <w:t>professioneel</w:t>
      </w:r>
      <w:r>
        <w:rPr>
          <w:rStyle w:val="Opmaakprofiel10ptVet"/>
          <w:rFonts w:ascii="Calibri" w:hAnsi="Calibri"/>
          <w:b w:val="0"/>
          <w:spacing w:val="-2"/>
        </w:rPr>
        <w:t xml:space="preserve"> g</w:t>
      </w:r>
      <w:r w:rsidRPr="008C195F">
        <w:rPr>
          <w:rStyle w:val="Opmaakprofiel10ptVet"/>
          <w:rFonts w:ascii="Calibri" w:hAnsi="Calibri"/>
          <w:b w:val="0"/>
          <w:spacing w:val="-2"/>
        </w:rPr>
        <w:t>ebruik.</w:t>
      </w:r>
    </w:p>
    <w:p w14:paraId="17D862D2" w14:textId="77777777" w:rsidR="00714080" w:rsidRPr="00C56E1B" w:rsidRDefault="00714080" w:rsidP="00472F75">
      <w:pPr>
        <w:rPr>
          <w:rFonts w:ascii="Calibri" w:hAnsi="Calibri"/>
          <w:b/>
        </w:rPr>
      </w:pPr>
    </w:p>
    <w:p w14:paraId="6353E3E2" w14:textId="77777777" w:rsidR="00472F75" w:rsidRPr="008C195F" w:rsidRDefault="00472F75" w:rsidP="00472F75">
      <w:pPr>
        <w:rPr>
          <w:rFonts w:ascii="Calibri" w:hAnsi="Calibri"/>
        </w:rPr>
      </w:pPr>
      <w:r w:rsidRPr="008C195F">
        <w:rPr>
          <w:rFonts w:ascii="Calibri" w:hAnsi="Calibri"/>
          <w:b/>
        </w:rPr>
        <w:t>1.4</w:t>
      </w:r>
      <w:r w:rsidRPr="008C195F">
        <w:rPr>
          <w:rFonts w:ascii="Calibri" w:hAnsi="Calibri"/>
        </w:rPr>
        <w:t xml:space="preserve">  </w:t>
      </w:r>
      <w:r w:rsidRPr="008C195F">
        <w:rPr>
          <w:rFonts w:ascii="Calibri" w:hAnsi="Calibri"/>
          <w:b/>
        </w:rPr>
        <w:t>Samenstelling, vorm en verpakking</w:t>
      </w:r>
    </w:p>
    <w:p w14:paraId="245A4DE3" w14:textId="77777777" w:rsidR="00472F75" w:rsidRPr="008C195F" w:rsidRDefault="00472F75" w:rsidP="00472F75">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376ACFD0" w14:textId="77777777" w:rsidR="00472F75" w:rsidRPr="008C195F" w:rsidRDefault="00472F75" w:rsidP="00472F75">
      <w:pPr>
        <w:overflowPunct w:val="0"/>
        <w:autoSpaceDE w:val="0"/>
        <w:autoSpaceDN w:val="0"/>
        <w:adjustRightInd w:val="0"/>
        <w:textAlignment w:val="baseline"/>
        <w:rPr>
          <w:rFonts w:ascii="Calibri" w:hAnsi="Calibri"/>
          <w:b/>
        </w:rPr>
      </w:pPr>
    </w:p>
    <w:p w14:paraId="17B329F1" w14:textId="77777777" w:rsidR="00472F75" w:rsidRPr="008C195F" w:rsidRDefault="00472F75" w:rsidP="00472F75">
      <w:pPr>
        <w:rPr>
          <w:rFonts w:ascii="Calibri" w:hAnsi="Calibri"/>
          <w:b/>
        </w:rPr>
      </w:pPr>
      <w:r w:rsidRPr="008C195F">
        <w:rPr>
          <w:rFonts w:ascii="Calibri" w:hAnsi="Calibri"/>
          <w:b/>
        </w:rPr>
        <w:t>1.5 Gebruik</w:t>
      </w:r>
    </w:p>
    <w:p w14:paraId="4F5CD20D" w14:textId="77777777" w:rsidR="00472F75" w:rsidRPr="008C195F" w:rsidRDefault="00472F75" w:rsidP="00472F75">
      <w:pPr>
        <w:rPr>
          <w:rFonts w:ascii="Calibri" w:hAnsi="Calibri"/>
        </w:rPr>
      </w:pPr>
      <w:r w:rsidRPr="008C195F">
        <w:rPr>
          <w:rFonts w:ascii="Calibri" w:hAnsi="Calibri"/>
        </w:rPr>
        <w:t xml:space="preserve">Het middel mag slechts worden gebruikt met inachtneming </w:t>
      </w:r>
      <w:r w:rsidR="00F80EFA">
        <w:rPr>
          <w:rFonts w:ascii="Calibri" w:hAnsi="Calibri"/>
        </w:rPr>
        <w:t>van de in bijlage I onder punt 4</w:t>
      </w:r>
      <w:r w:rsidRPr="008C195F">
        <w:rPr>
          <w:rFonts w:ascii="Calibri" w:hAnsi="Calibri"/>
        </w:rPr>
        <w:t xml:space="preserve"> weergegeven toepassingen en volgens de in punt 5 weergegeven gebruiksvoorschriften.</w:t>
      </w:r>
    </w:p>
    <w:p w14:paraId="36F30BD9" w14:textId="77777777" w:rsidR="00472F75" w:rsidRPr="008C195F" w:rsidRDefault="00472F75" w:rsidP="00472F75">
      <w:pPr>
        <w:rPr>
          <w:rFonts w:ascii="Calibri" w:hAnsi="Calibri"/>
        </w:rPr>
      </w:pPr>
    </w:p>
    <w:p w14:paraId="251A567B" w14:textId="77777777" w:rsidR="00472F75" w:rsidRPr="008C195F" w:rsidRDefault="00472F75" w:rsidP="00472F75">
      <w:pPr>
        <w:rPr>
          <w:rFonts w:ascii="Calibri" w:hAnsi="Calibri"/>
          <w:b/>
          <w:lang w:val="nl"/>
        </w:rPr>
      </w:pPr>
      <w:r w:rsidRPr="008C195F">
        <w:rPr>
          <w:rFonts w:ascii="Calibri" w:hAnsi="Calibri"/>
          <w:b/>
          <w:lang w:val="nl"/>
        </w:rPr>
        <w:t>1.6 Classificatie, verpakking en etikettering</w:t>
      </w:r>
    </w:p>
    <w:p w14:paraId="7E746D91" w14:textId="77777777" w:rsidR="00472F75" w:rsidRPr="008C195F" w:rsidRDefault="00472F75" w:rsidP="00472F75">
      <w:pPr>
        <w:rPr>
          <w:rFonts w:ascii="Calibri" w:hAnsi="Calibri" w:cs="Arial"/>
          <w:lang w:val="nl"/>
        </w:rPr>
      </w:pPr>
      <w:r w:rsidRPr="008C195F">
        <w:rPr>
          <w:rFonts w:ascii="Calibri" w:hAnsi="Calibri" w:cs="Arial"/>
          <w:lang w:val="nl"/>
        </w:rPr>
        <w:t>De classificatie, verpakking en etikettering op basis van art 69 van de verordening bevat de informatie zoals weergegeven in bijlage I bij dit besluit.</w:t>
      </w:r>
    </w:p>
    <w:p w14:paraId="161E02AC" w14:textId="77777777" w:rsidR="00472F75" w:rsidRPr="008C195F" w:rsidRDefault="00472F75" w:rsidP="00472F75">
      <w:pPr>
        <w:rPr>
          <w:rFonts w:ascii="Calibri" w:hAnsi="Calibri"/>
        </w:rPr>
      </w:pPr>
    </w:p>
    <w:p w14:paraId="18593DDA" w14:textId="77777777" w:rsidR="00472F75" w:rsidRPr="008C195F" w:rsidRDefault="00472F75" w:rsidP="00472F75">
      <w:pPr>
        <w:rPr>
          <w:rFonts w:ascii="Calibri" w:hAnsi="Calibri"/>
          <w:b/>
          <w:lang w:val="nl"/>
        </w:rPr>
      </w:pPr>
      <w:r w:rsidRPr="008C195F">
        <w:rPr>
          <w:rFonts w:ascii="Calibri" w:hAnsi="Calibri"/>
          <w:b/>
          <w:lang w:val="nl"/>
        </w:rPr>
        <w:t>1.7 Motivering</w:t>
      </w:r>
    </w:p>
    <w:p w14:paraId="26E5E11C" w14:textId="209F2D6B" w:rsidR="00933928" w:rsidRDefault="00933928" w:rsidP="00933928">
      <w:pPr>
        <w:rPr>
          <w:rFonts w:asciiTheme="minorHAnsi" w:hAnsiTheme="minorHAnsi" w:cstheme="minorHAnsi"/>
        </w:rPr>
      </w:pPr>
      <w:r w:rsidRPr="007D5DB7">
        <w:rPr>
          <w:rFonts w:asciiTheme="minorHAnsi" w:hAnsiTheme="minorHAnsi" w:cstheme="minorHAnsi"/>
        </w:rPr>
        <w:t xml:space="preserve">De beoordeling van dit product en zijn toepassingen is uitgevoerd door de lidstaat </w:t>
      </w:r>
      <w:r>
        <w:rPr>
          <w:rFonts w:ascii="Calibri" w:hAnsi="Calibri"/>
          <w:szCs w:val="20"/>
        </w:rPr>
        <w:t>Verenigd Koninkrijk</w:t>
      </w:r>
      <w:r w:rsidR="005F4643">
        <w:rPr>
          <w:rFonts w:ascii="Calibri" w:hAnsi="Calibri"/>
          <w:szCs w:val="20"/>
        </w:rPr>
        <w:t xml:space="preserve"> (VK)</w:t>
      </w:r>
      <w:r>
        <w:rPr>
          <w:rFonts w:ascii="Calibri" w:hAnsi="Calibri"/>
          <w:szCs w:val="20"/>
        </w:rPr>
        <w:t>.</w:t>
      </w:r>
      <w:r>
        <w:rPr>
          <w:rFonts w:asciiTheme="minorHAnsi" w:hAnsiTheme="minorHAnsi" w:cstheme="minorHAnsi"/>
        </w:rPr>
        <w:t xml:space="preserve"> </w:t>
      </w:r>
      <w:r w:rsidRPr="00933928">
        <w:rPr>
          <w:rFonts w:ascii="Calibri" w:hAnsi="Calibri"/>
          <w:szCs w:val="20"/>
        </w:rPr>
        <w:t>In de wederzijdse erkenningsprocedure heeft Estland</w:t>
      </w:r>
      <w:r w:rsidR="005F4643">
        <w:rPr>
          <w:rFonts w:ascii="Calibri" w:hAnsi="Calibri"/>
          <w:szCs w:val="20"/>
        </w:rPr>
        <w:t xml:space="preserve"> (EE)</w:t>
      </w:r>
      <w:r w:rsidRPr="00933928">
        <w:rPr>
          <w:rFonts w:ascii="Calibri" w:hAnsi="Calibri"/>
          <w:szCs w:val="20"/>
        </w:rPr>
        <w:t xml:space="preserve"> de rol overgenomen </w:t>
      </w:r>
      <w:r>
        <w:rPr>
          <w:rFonts w:ascii="Calibri" w:hAnsi="Calibri"/>
          <w:szCs w:val="20"/>
        </w:rPr>
        <w:t>van het Verenigd Koninkrijk</w:t>
      </w:r>
      <w:r w:rsidRPr="00933928">
        <w:rPr>
          <w:rFonts w:ascii="Calibri" w:hAnsi="Calibri"/>
          <w:szCs w:val="20"/>
        </w:rPr>
        <w:t>.</w:t>
      </w:r>
      <w:r>
        <w:rPr>
          <w:rFonts w:ascii="Calibri" w:hAnsi="Calibri"/>
          <w:szCs w:val="20"/>
        </w:rPr>
        <w:t xml:space="preserve"> Hiermee </w:t>
      </w:r>
      <w:r w:rsidR="008D7B04">
        <w:rPr>
          <w:rFonts w:ascii="Calibri" w:hAnsi="Calibri"/>
          <w:szCs w:val="20"/>
        </w:rPr>
        <w:t>fungeert</w:t>
      </w:r>
      <w:r>
        <w:rPr>
          <w:rFonts w:ascii="Calibri" w:hAnsi="Calibri"/>
          <w:szCs w:val="20"/>
        </w:rPr>
        <w:t xml:space="preserve"> </w:t>
      </w:r>
      <w:r w:rsidR="005F4643">
        <w:rPr>
          <w:rFonts w:ascii="Calibri" w:hAnsi="Calibri"/>
          <w:szCs w:val="20"/>
        </w:rPr>
        <w:t>EE</w:t>
      </w:r>
      <w:r>
        <w:rPr>
          <w:rFonts w:ascii="Calibri" w:hAnsi="Calibri"/>
          <w:szCs w:val="20"/>
        </w:rPr>
        <w:t xml:space="preserve"> </w:t>
      </w:r>
      <w:r w:rsidR="008D7B04">
        <w:rPr>
          <w:rFonts w:ascii="Calibri" w:hAnsi="Calibri"/>
          <w:szCs w:val="20"/>
        </w:rPr>
        <w:t xml:space="preserve">dus </w:t>
      </w:r>
      <w:r>
        <w:rPr>
          <w:rFonts w:ascii="Calibri" w:hAnsi="Calibri"/>
          <w:szCs w:val="20"/>
        </w:rPr>
        <w:t xml:space="preserve">als referentie lidstaat. </w:t>
      </w:r>
      <w:r w:rsidRPr="008C6D58">
        <w:rPr>
          <w:rFonts w:ascii="Calibri" w:hAnsi="Calibri"/>
          <w:szCs w:val="20"/>
        </w:rPr>
        <w:t xml:space="preserve">De biocidefamilie is in de referentielidstaat toegelaten onder nummer </w:t>
      </w:r>
      <w:r w:rsidRPr="00933928">
        <w:rPr>
          <w:rFonts w:ascii="Calibri" w:hAnsi="Calibri"/>
          <w:szCs w:val="20"/>
        </w:rPr>
        <w:t>EE-0020244-0000</w:t>
      </w:r>
      <w:r w:rsidRPr="008C6D58">
        <w:rPr>
          <w:rFonts w:ascii="Calibri" w:hAnsi="Calibri"/>
          <w:szCs w:val="20"/>
        </w:rPr>
        <w:t xml:space="preserve">. </w:t>
      </w:r>
      <w:r w:rsidRPr="007D5DB7">
        <w:rPr>
          <w:rFonts w:asciiTheme="minorHAnsi" w:hAnsiTheme="minorHAnsi" w:cstheme="minorHAnsi"/>
        </w:rPr>
        <w:t xml:space="preserve">In Nederland worden de conclusies van de beoordeling overgenomen via de procedure van wederzijdse erkenning. Uit het beoordelingsrapport </w:t>
      </w:r>
      <w:r w:rsidR="005F4643">
        <w:rPr>
          <w:rFonts w:asciiTheme="minorHAnsi" w:hAnsiTheme="minorHAnsi" w:cstheme="minorHAnsi"/>
        </w:rPr>
        <w:t>dat uitgevoerd is door</w:t>
      </w:r>
      <w:r w:rsidRPr="007D5DB7">
        <w:rPr>
          <w:rFonts w:asciiTheme="minorHAnsi" w:hAnsiTheme="minorHAnsi" w:cstheme="minorHAnsi"/>
        </w:rPr>
        <w:t xml:space="preserve"> </w:t>
      </w:r>
      <w:r w:rsidR="005F4643">
        <w:rPr>
          <w:rFonts w:asciiTheme="minorHAnsi" w:hAnsiTheme="minorHAnsi" w:cstheme="minorHAnsi"/>
        </w:rPr>
        <w:t xml:space="preserve">VK en </w:t>
      </w:r>
      <w:r w:rsidR="006F5BDD">
        <w:rPr>
          <w:rFonts w:asciiTheme="minorHAnsi" w:hAnsiTheme="minorHAnsi" w:cstheme="minorHAnsi"/>
        </w:rPr>
        <w:t xml:space="preserve">welke </w:t>
      </w:r>
      <w:r w:rsidR="005F4643">
        <w:rPr>
          <w:rFonts w:asciiTheme="minorHAnsi" w:hAnsiTheme="minorHAnsi" w:cstheme="minorHAnsi"/>
        </w:rPr>
        <w:t>overgenomen is door EE</w:t>
      </w:r>
      <w:r w:rsidRPr="007D5DB7">
        <w:rPr>
          <w:rFonts w:asciiTheme="minorHAnsi" w:hAnsiTheme="minorHAnsi" w:cstheme="minorHAnsi"/>
        </w:rPr>
        <w:t xml:space="preserve"> blijkt dat het middel niet voldoet aan de voorwaarden van toelating zoals beschreven in artikel 19(1). Toelating vindt plaats op basis van artikel 19(5) waarbij NL een eigen afweging maakt van de voorwaarden voor toelating.</w:t>
      </w:r>
    </w:p>
    <w:p w14:paraId="6AA88144" w14:textId="5D74079C" w:rsidR="005F4643" w:rsidRDefault="005F4643" w:rsidP="00933928">
      <w:pPr>
        <w:rPr>
          <w:rFonts w:asciiTheme="minorHAnsi" w:hAnsiTheme="minorHAnsi" w:cstheme="minorHAnsi"/>
        </w:rPr>
      </w:pPr>
    </w:p>
    <w:p w14:paraId="1D350138" w14:textId="77777777" w:rsidR="005F4643" w:rsidRPr="00813D34" w:rsidRDefault="005F4643" w:rsidP="005F4643">
      <w:pPr>
        <w:rPr>
          <w:rFonts w:ascii="Calibri" w:hAnsi="Calibri"/>
          <w:lang w:val="nl"/>
        </w:rPr>
      </w:pPr>
      <w:r w:rsidRPr="00813D34">
        <w:rPr>
          <w:rFonts w:ascii="Calibri" w:hAnsi="Calibri"/>
          <w:lang w:val="nl"/>
        </w:rPr>
        <w:t>Er geldt dat vanwege de hoge milieurisico’s van het gebruik van anticoagulantia, biociden op basis van anticoagulantia slechts toegelaten kunnen worden indien het niet toelaten voor de samenleving onevenredig grote negatieve gevolgen heeft (art 19(5) BPR) en indien alternatieve middelen en methoden voor de beheersing van knaagdieren niet in voldoende mate beschikbaar en effectief zijn (art 23 BPR) .</w:t>
      </w:r>
    </w:p>
    <w:p w14:paraId="157C701A" w14:textId="77777777" w:rsidR="005F4643" w:rsidRPr="00813D34" w:rsidRDefault="005F4643" w:rsidP="005F4643">
      <w:pPr>
        <w:rPr>
          <w:rFonts w:ascii="Calibri" w:hAnsi="Calibri"/>
          <w:lang w:val="nl"/>
        </w:rPr>
      </w:pPr>
    </w:p>
    <w:p w14:paraId="61E5561B" w14:textId="77777777" w:rsidR="005F4643" w:rsidRPr="00813D34" w:rsidRDefault="005F4643" w:rsidP="005F4643">
      <w:pPr>
        <w:rPr>
          <w:rFonts w:ascii="Calibri" w:hAnsi="Calibri"/>
          <w:lang w:val="en-US"/>
        </w:rPr>
      </w:pPr>
      <w:r w:rsidRPr="00813D34">
        <w:rPr>
          <w:rFonts w:ascii="Calibri" w:hAnsi="Calibri"/>
          <w:lang w:val="nl"/>
        </w:rPr>
        <w:t>De beheersing van muizen binnen gebouwen en de beheersing van ratten binnen en buiten gebouwen zijn van wezenlijk belang voor de gezondheid van mens en dier, voor de bescherming van voedsel en materialen en voor de veiligheid (brandgevaar door knaagschade).</w:t>
      </w:r>
      <w:r>
        <w:rPr>
          <w:rFonts w:ascii="Calibri" w:hAnsi="Calibri"/>
          <w:lang w:val="nl"/>
        </w:rPr>
        <w:t xml:space="preserve"> </w:t>
      </w:r>
      <w:r w:rsidRPr="00813D34">
        <w:rPr>
          <w:rFonts w:ascii="Calibri" w:hAnsi="Calibri"/>
          <w:lang w:val="nl"/>
        </w:rPr>
        <w:t xml:space="preserve">Voor deze toepassingen zijn niet voor alle gevallen goede alternatieven (middelen en methoden) beschikbaar. </w:t>
      </w:r>
      <w:proofErr w:type="spellStart"/>
      <w:r w:rsidRPr="00813D34">
        <w:rPr>
          <w:rFonts w:ascii="Calibri" w:hAnsi="Calibri"/>
          <w:lang w:val="en-US"/>
        </w:rPr>
        <w:t>Deze</w:t>
      </w:r>
      <w:proofErr w:type="spellEnd"/>
      <w:r w:rsidRPr="00813D34">
        <w:rPr>
          <w:rFonts w:ascii="Calibri" w:hAnsi="Calibri"/>
          <w:lang w:val="en-US"/>
        </w:rPr>
        <w:t xml:space="preserve"> </w:t>
      </w:r>
      <w:proofErr w:type="spellStart"/>
      <w:r w:rsidRPr="00813D34">
        <w:rPr>
          <w:rFonts w:ascii="Calibri" w:hAnsi="Calibri"/>
          <w:lang w:val="en-US"/>
        </w:rPr>
        <w:t>conclusie</w:t>
      </w:r>
      <w:proofErr w:type="spellEnd"/>
      <w:r w:rsidRPr="00813D34">
        <w:rPr>
          <w:rFonts w:ascii="Calibri" w:hAnsi="Calibri"/>
          <w:lang w:val="en-US"/>
        </w:rPr>
        <w:t xml:space="preserve"> is </w:t>
      </w:r>
      <w:proofErr w:type="spellStart"/>
      <w:r w:rsidRPr="00813D34">
        <w:rPr>
          <w:rFonts w:ascii="Calibri" w:hAnsi="Calibri"/>
          <w:lang w:val="en-US"/>
        </w:rPr>
        <w:t>mede</w:t>
      </w:r>
      <w:proofErr w:type="spellEnd"/>
      <w:r w:rsidRPr="00813D34">
        <w:rPr>
          <w:rFonts w:ascii="Calibri" w:hAnsi="Calibri"/>
          <w:lang w:val="en-US"/>
        </w:rPr>
        <w:t xml:space="preserve"> </w:t>
      </w:r>
      <w:proofErr w:type="spellStart"/>
      <w:r w:rsidRPr="00813D34">
        <w:rPr>
          <w:rFonts w:ascii="Calibri" w:hAnsi="Calibri"/>
          <w:lang w:val="en-US"/>
        </w:rPr>
        <w:t>gebaseerd</w:t>
      </w:r>
      <w:proofErr w:type="spellEnd"/>
      <w:r w:rsidRPr="00813D34">
        <w:rPr>
          <w:rFonts w:ascii="Calibri" w:hAnsi="Calibri"/>
          <w:lang w:val="en-US"/>
        </w:rPr>
        <w:t xml:space="preserve"> op de ‘Opinion of the Biocidal Products Committee on questions related to the comparative assessment of anticoagulant rodenticides’ (ECHA/BPC/</w:t>
      </w:r>
      <w:r>
        <w:rPr>
          <w:rFonts w:ascii="Calibri" w:hAnsi="Calibri"/>
          <w:lang w:val="en-US"/>
        </w:rPr>
        <w:t>145/2017 adopted 2 March 2017).</w:t>
      </w:r>
    </w:p>
    <w:p w14:paraId="362540A5" w14:textId="77777777" w:rsidR="005F4643" w:rsidRPr="00813D34" w:rsidRDefault="005F4643" w:rsidP="005F4643">
      <w:pPr>
        <w:rPr>
          <w:rFonts w:ascii="Calibri" w:hAnsi="Calibri"/>
          <w:lang w:val="en-US"/>
        </w:rPr>
      </w:pPr>
    </w:p>
    <w:p w14:paraId="4E2DD6ED" w14:textId="77777777" w:rsidR="005F4643" w:rsidRPr="00813D34" w:rsidRDefault="005F4643" w:rsidP="005F4643">
      <w:pPr>
        <w:rPr>
          <w:rFonts w:ascii="Calibri" w:hAnsi="Calibri"/>
          <w:lang w:val="nl"/>
        </w:rPr>
      </w:pPr>
      <w:r w:rsidRPr="00813D34">
        <w:rPr>
          <w:rFonts w:ascii="Calibri" w:hAnsi="Calibri"/>
          <w:lang w:val="nl"/>
        </w:rPr>
        <w:t>Biociden op basis van anticoagulantia voor de beheersing van muizen binnen gebouwen en de beheersing van ratten binnen en buiten gebouwen kunnen daarom</w:t>
      </w:r>
      <w:r>
        <w:rPr>
          <w:rFonts w:ascii="Calibri" w:hAnsi="Calibri"/>
          <w:lang w:val="nl"/>
        </w:rPr>
        <w:t>, hoewel niet voldaan wordt aan de criteria van artikel 19(1) toch</w:t>
      </w:r>
      <w:r w:rsidRPr="00813D34">
        <w:rPr>
          <w:rFonts w:ascii="Calibri" w:hAnsi="Calibri"/>
          <w:lang w:val="nl"/>
        </w:rPr>
        <w:t xml:space="preserve"> op basis van artikel 19(5) BPR worden toegelaten. Voor overige toepassingen van biociden op basis van anticoagulantia geldt niet dat voor de samenleving onevenredig grote nega</w:t>
      </w:r>
      <w:r>
        <w:rPr>
          <w:rFonts w:ascii="Calibri" w:hAnsi="Calibri"/>
          <w:lang w:val="nl"/>
        </w:rPr>
        <w:t>tieve gevolgen voorzien worden.</w:t>
      </w:r>
    </w:p>
    <w:p w14:paraId="4F9B2BE5" w14:textId="77777777" w:rsidR="005F4643" w:rsidRPr="00813D34" w:rsidRDefault="005F4643" w:rsidP="005F4643">
      <w:pPr>
        <w:rPr>
          <w:rFonts w:ascii="Calibri" w:hAnsi="Calibri"/>
          <w:lang w:val="nl"/>
        </w:rPr>
      </w:pPr>
    </w:p>
    <w:p w14:paraId="0EEFDC51" w14:textId="77777777" w:rsidR="005F4643" w:rsidRDefault="005F4643" w:rsidP="005F4643">
      <w:pPr>
        <w:rPr>
          <w:rFonts w:ascii="Calibri" w:hAnsi="Calibri"/>
          <w:lang w:val="nl"/>
        </w:rPr>
      </w:pPr>
      <w:r w:rsidRPr="00813D34">
        <w:rPr>
          <w:rFonts w:ascii="Calibri" w:hAnsi="Calibri"/>
          <w:lang w:val="nl"/>
        </w:rPr>
        <w:t>Bij een toelating van biociden op basis van anticoagulantia kunnen tevens NL-specifieke elementen, zoals beschreven in paragraaf 2.5 van dit besluit van toepassing zijn.</w:t>
      </w:r>
    </w:p>
    <w:p w14:paraId="6C687F72" w14:textId="77777777" w:rsidR="00472F75" w:rsidRPr="008C195F" w:rsidRDefault="00472F75" w:rsidP="00472F75">
      <w:pPr>
        <w:rPr>
          <w:rFonts w:ascii="Calibri" w:hAnsi="Calibri"/>
        </w:rPr>
      </w:pPr>
    </w:p>
    <w:p w14:paraId="5316ADCA" w14:textId="77777777" w:rsidR="006B1B85" w:rsidRDefault="006B1B85">
      <w:pPr>
        <w:rPr>
          <w:rFonts w:ascii="Calibri" w:hAnsi="Calibri"/>
          <w:b/>
          <w:bCs/>
          <w:sz w:val="24"/>
        </w:rPr>
      </w:pPr>
      <w:r>
        <w:rPr>
          <w:rFonts w:ascii="Calibri" w:hAnsi="Calibri"/>
          <w:b/>
          <w:bCs/>
          <w:sz w:val="24"/>
        </w:rPr>
        <w:br w:type="page"/>
      </w:r>
    </w:p>
    <w:p w14:paraId="7FEE329E" w14:textId="04A54362" w:rsidR="00472F75" w:rsidRPr="008C195F" w:rsidRDefault="00472F75" w:rsidP="00472F75">
      <w:pPr>
        <w:rPr>
          <w:rFonts w:ascii="Calibri" w:hAnsi="Calibri"/>
          <w:b/>
          <w:bCs/>
          <w:sz w:val="24"/>
        </w:rPr>
      </w:pPr>
      <w:r w:rsidRPr="008C195F">
        <w:rPr>
          <w:rFonts w:ascii="Calibri" w:hAnsi="Calibri"/>
          <w:b/>
          <w:bCs/>
          <w:sz w:val="24"/>
        </w:rPr>
        <w:lastRenderedPageBreak/>
        <w:t>2 DETAILS VAN DE AANVRAAG EN TOELATING</w:t>
      </w:r>
    </w:p>
    <w:p w14:paraId="7018E17D" w14:textId="77777777" w:rsidR="00472F75" w:rsidRPr="008C195F" w:rsidRDefault="00472F75" w:rsidP="00472F75">
      <w:pPr>
        <w:rPr>
          <w:rFonts w:ascii="Calibri" w:hAnsi="Calibri"/>
        </w:rPr>
      </w:pPr>
    </w:p>
    <w:p w14:paraId="058F6FA0" w14:textId="77777777" w:rsidR="00472F75" w:rsidRPr="008C195F" w:rsidRDefault="00472F75" w:rsidP="00472F75">
      <w:pPr>
        <w:rPr>
          <w:rFonts w:ascii="Calibri" w:hAnsi="Calibri"/>
        </w:rPr>
      </w:pPr>
      <w:r w:rsidRPr="008C195F">
        <w:rPr>
          <w:rFonts w:ascii="Calibri" w:hAnsi="Calibri"/>
          <w:b/>
          <w:bCs/>
        </w:rPr>
        <w:t>2.1 Aanvraag</w:t>
      </w:r>
    </w:p>
    <w:p w14:paraId="6ABA004C" w14:textId="524ABE10" w:rsidR="00472F75" w:rsidRDefault="00472F75" w:rsidP="00472F75">
      <w:pPr>
        <w:rPr>
          <w:rStyle w:val="Calibri11Char"/>
        </w:rPr>
      </w:pPr>
      <w:r w:rsidRPr="008C195F">
        <w:rPr>
          <w:rFonts w:ascii="Calibri" w:hAnsi="Calibri"/>
        </w:rPr>
        <w:t xml:space="preserve">Het betreft een </w:t>
      </w:r>
      <w:r w:rsidR="00C25D21" w:rsidRPr="008C195F">
        <w:rPr>
          <w:rFonts w:ascii="Calibri" w:hAnsi="Calibri"/>
        </w:rPr>
        <w:t xml:space="preserve">tot verkrijging van een toelating </w:t>
      </w:r>
      <w:r w:rsidRPr="008C195F">
        <w:rPr>
          <w:rFonts w:ascii="Calibri" w:hAnsi="Calibri"/>
        </w:rPr>
        <w:t xml:space="preserve">op basis van wederzijdse erkenning van </w:t>
      </w:r>
      <w:r w:rsidR="006B1B85">
        <w:rPr>
          <w:rFonts w:ascii="Calibri" w:hAnsi="Calibri"/>
        </w:rPr>
        <w:t xml:space="preserve">de Estlandse </w:t>
      </w:r>
      <w:r w:rsidR="00DF2AAF" w:rsidRPr="008C195F">
        <w:rPr>
          <w:rFonts w:ascii="Calibri" w:hAnsi="Calibri"/>
        </w:rPr>
        <w:t>toelating</w:t>
      </w:r>
      <w:r w:rsidRPr="008C195F">
        <w:rPr>
          <w:rFonts w:ascii="Calibri" w:hAnsi="Calibri"/>
        </w:rPr>
        <w:t xml:space="preserve"> v</w:t>
      </w:r>
      <w:r w:rsidR="00FC61A0">
        <w:rPr>
          <w:rFonts w:ascii="Calibri" w:hAnsi="Calibri"/>
        </w:rPr>
        <w:t xml:space="preserve">oor de </w:t>
      </w:r>
      <w:proofErr w:type="spellStart"/>
      <w:r w:rsidR="00FC61A0">
        <w:rPr>
          <w:rFonts w:ascii="Calibri" w:hAnsi="Calibri"/>
        </w:rPr>
        <w:t>biocidenfamilie</w:t>
      </w:r>
      <w:proofErr w:type="spellEnd"/>
      <w:r w:rsidR="00FC61A0">
        <w:rPr>
          <w:rFonts w:ascii="Calibri" w:hAnsi="Calibri"/>
        </w:rPr>
        <w:t xml:space="preserve"> </w:t>
      </w:r>
      <w:proofErr w:type="spellStart"/>
      <w:r w:rsidR="00FC61A0">
        <w:rPr>
          <w:rFonts w:ascii="Calibri" w:hAnsi="Calibri"/>
        </w:rPr>
        <w:t>Brodifacoum</w:t>
      </w:r>
      <w:proofErr w:type="spellEnd"/>
      <w:r w:rsidR="00FC61A0">
        <w:rPr>
          <w:rFonts w:ascii="Calibri" w:hAnsi="Calibri"/>
        </w:rPr>
        <w:t xml:space="preserve"> Family – PT14</w:t>
      </w:r>
      <w:r w:rsidRPr="008C195F">
        <w:rPr>
          <w:rFonts w:ascii="Calibri" w:hAnsi="Calibri"/>
        </w:rPr>
        <w:t xml:space="preserve">, een middel </w:t>
      </w:r>
      <w:r w:rsidRPr="004977CE">
        <w:rPr>
          <w:rStyle w:val="Calibri11Char"/>
        </w:rPr>
        <w:t>op basis van de werkzame stof</w:t>
      </w:r>
      <w:r w:rsidR="006B1B85">
        <w:rPr>
          <w:rStyle w:val="Calibri11Char"/>
        </w:rPr>
        <w:t xml:space="preserve"> </w:t>
      </w:r>
      <w:proofErr w:type="spellStart"/>
      <w:r w:rsidR="006B1B85">
        <w:rPr>
          <w:rStyle w:val="Calibri11Char"/>
        </w:rPr>
        <w:t>brodifacoum</w:t>
      </w:r>
      <w:proofErr w:type="spellEnd"/>
      <w:r>
        <w:rPr>
          <w:rStyle w:val="Calibri11Char"/>
        </w:rPr>
        <w:t xml:space="preserve">. </w:t>
      </w:r>
      <w:r w:rsidR="006B1B85">
        <w:rPr>
          <w:rStyle w:val="Calibri11Char"/>
        </w:rPr>
        <w:t>De</w:t>
      </w:r>
      <w:r>
        <w:rPr>
          <w:rStyle w:val="Calibri11Char"/>
        </w:rPr>
        <w:t xml:space="preserve"> middel</w:t>
      </w:r>
      <w:r w:rsidR="006B1B85">
        <w:rPr>
          <w:rStyle w:val="Calibri11Char"/>
        </w:rPr>
        <w:t>en in de biocidefamilie</w:t>
      </w:r>
      <w:r>
        <w:rPr>
          <w:rStyle w:val="Calibri11Char"/>
        </w:rPr>
        <w:t xml:space="preserve"> word</w:t>
      </w:r>
      <w:r w:rsidR="006B1B85">
        <w:rPr>
          <w:rStyle w:val="Calibri11Char"/>
        </w:rPr>
        <w:t>en</w:t>
      </w:r>
      <w:r>
        <w:rPr>
          <w:rStyle w:val="Calibri11Char"/>
        </w:rPr>
        <w:t xml:space="preserve"> toegelaten </w:t>
      </w:r>
      <w:r w:rsidR="006B1B85">
        <w:rPr>
          <w:rStyle w:val="Calibri11Char"/>
        </w:rPr>
        <w:t xml:space="preserve">als </w:t>
      </w:r>
      <w:proofErr w:type="spellStart"/>
      <w:r w:rsidR="006B1B85">
        <w:rPr>
          <w:rStyle w:val="Calibri11Char"/>
        </w:rPr>
        <w:t>rodenticide</w:t>
      </w:r>
      <w:proofErr w:type="spellEnd"/>
      <w:r w:rsidR="006B1B85">
        <w:rPr>
          <w:rStyle w:val="Calibri11Char"/>
        </w:rPr>
        <w:t xml:space="preserve"> voor profession</w:t>
      </w:r>
      <w:r w:rsidR="00134164">
        <w:rPr>
          <w:rStyle w:val="Calibri11Char"/>
        </w:rPr>
        <w:t>eel gebruik volgens de volgende toepassingen:</w:t>
      </w:r>
    </w:p>
    <w:p w14:paraId="25A27E30" w14:textId="77777777" w:rsidR="00134164" w:rsidRDefault="00134164" w:rsidP="00134164">
      <w:pPr>
        <w:rPr>
          <w:rStyle w:val="Calibri11Char"/>
        </w:rPr>
      </w:pPr>
      <w:r>
        <w:rPr>
          <w:rStyle w:val="Calibri11Char"/>
        </w:rPr>
        <w:t>Meta SPC 1</w:t>
      </w:r>
    </w:p>
    <w:p w14:paraId="696E56AE" w14:textId="1282A93B" w:rsidR="00134164" w:rsidRDefault="00134164" w:rsidP="00134164">
      <w:pPr>
        <w:rPr>
          <w:rStyle w:val="Calibri11Char"/>
        </w:rPr>
      </w:pPr>
      <w:r>
        <w:rPr>
          <w:rStyle w:val="Calibri11Char"/>
        </w:rPr>
        <w:t>1) Professioneel – huismuizen en</w:t>
      </w:r>
      <w:r w:rsidR="00AA6ED2">
        <w:rPr>
          <w:rStyle w:val="Calibri11Char"/>
        </w:rPr>
        <w:t>/of</w:t>
      </w:r>
      <w:r>
        <w:rPr>
          <w:rStyle w:val="Calibri11Char"/>
        </w:rPr>
        <w:t xml:space="preserve"> bruine ratten –  binnenshuis</w:t>
      </w:r>
    </w:p>
    <w:p w14:paraId="4900340B" w14:textId="718D731A" w:rsidR="00134164" w:rsidRDefault="00134164" w:rsidP="00134164">
      <w:pPr>
        <w:rPr>
          <w:rStyle w:val="Calibri11Char"/>
        </w:rPr>
      </w:pPr>
      <w:r>
        <w:rPr>
          <w:rStyle w:val="Calibri11Char"/>
        </w:rPr>
        <w:t xml:space="preserve">2) Professioneel – bruine ratten – buiten </w:t>
      </w:r>
      <w:r w:rsidRPr="00B305E6">
        <w:rPr>
          <w:rStyle w:val="Calibri11Char"/>
        </w:rPr>
        <w:t>rond gebouwen en voedselopslagplaatsen</w:t>
      </w:r>
    </w:p>
    <w:p w14:paraId="27D953E1" w14:textId="59D0B1A9" w:rsidR="00134164" w:rsidRDefault="00134164" w:rsidP="00134164">
      <w:pPr>
        <w:rPr>
          <w:rStyle w:val="Calibri11Char"/>
        </w:rPr>
      </w:pPr>
      <w:r>
        <w:rPr>
          <w:rStyle w:val="Calibri11Char"/>
        </w:rPr>
        <w:t>3) Professioneel</w:t>
      </w:r>
      <w:r w:rsidRPr="00B305E6">
        <w:rPr>
          <w:rStyle w:val="Calibri11Char"/>
        </w:rPr>
        <w:t xml:space="preserve"> – bruine ratten</w:t>
      </w:r>
      <w:r>
        <w:rPr>
          <w:rStyle w:val="Calibri11Char"/>
        </w:rPr>
        <w:t xml:space="preserve"> </w:t>
      </w:r>
      <w:r w:rsidRPr="00B305E6">
        <w:rPr>
          <w:rStyle w:val="Calibri11Char"/>
        </w:rPr>
        <w:t xml:space="preserve">– </w:t>
      </w:r>
      <w:r>
        <w:rPr>
          <w:rStyle w:val="Calibri11Char"/>
        </w:rPr>
        <w:t>riolen</w:t>
      </w:r>
    </w:p>
    <w:p w14:paraId="6E1E3F2C" w14:textId="038EC8FB" w:rsidR="00134164" w:rsidRDefault="00134164" w:rsidP="00134164">
      <w:pPr>
        <w:rPr>
          <w:rStyle w:val="Calibri11Char"/>
        </w:rPr>
      </w:pPr>
      <w:r>
        <w:rPr>
          <w:rStyle w:val="Calibri11Char"/>
        </w:rPr>
        <w:t>Meta SPC 2</w:t>
      </w:r>
    </w:p>
    <w:p w14:paraId="577395F6" w14:textId="4E9B94E3" w:rsidR="00134164" w:rsidRPr="004977CE" w:rsidRDefault="00134164" w:rsidP="00134164">
      <w:pPr>
        <w:rPr>
          <w:rStyle w:val="Calibri11Char"/>
        </w:rPr>
      </w:pPr>
      <w:r>
        <w:rPr>
          <w:rStyle w:val="Calibri11Char"/>
        </w:rPr>
        <w:t>4) Professioneel – bruine ratten - binnen</w:t>
      </w:r>
    </w:p>
    <w:p w14:paraId="3FF23EC9" w14:textId="35FA4BFA" w:rsidR="00134164" w:rsidRDefault="00134164" w:rsidP="00472F75">
      <w:pPr>
        <w:rPr>
          <w:rStyle w:val="Calibri11Char"/>
        </w:rPr>
      </w:pPr>
      <w:r>
        <w:rPr>
          <w:rStyle w:val="Calibri11Char"/>
        </w:rPr>
        <w:t>5) Professioneel</w:t>
      </w:r>
      <w:r w:rsidR="00AA6ED2">
        <w:rPr>
          <w:rStyle w:val="Calibri11Char"/>
        </w:rPr>
        <w:t xml:space="preserve"> – bruine ratten – buiten </w:t>
      </w:r>
      <w:r w:rsidR="00AA6ED2" w:rsidRPr="00B305E6">
        <w:rPr>
          <w:rStyle w:val="Calibri11Char"/>
        </w:rPr>
        <w:t>rond gebouwen en voedselopslagplaatsen</w:t>
      </w:r>
    </w:p>
    <w:p w14:paraId="77C21A1F" w14:textId="624A14FB" w:rsidR="00134164" w:rsidRDefault="00134164" w:rsidP="00472F75">
      <w:pPr>
        <w:rPr>
          <w:rStyle w:val="Calibri11Char"/>
        </w:rPr>
      </w:pPr>
      <w:r>
        <w:rPr>
          <w:rStyle w:val="Calibri11Char"/>
        </w:rPr>
        <w:t>Meta SPC 3</w:t>
      </w:r>
    </w:p>
    <w:p w14:paraId="315C030F" w14:textId="1E9FEA28" w:rsidR="00134164" w:rsidRDefault="00134164" w:rsidP="00472F75">
      <w:pPr>
        <w:rPr>
          <w:rStyle w:val="Calibri11Char"/>
        </w:rPr>
      </w:pPr>
      <w:r>
        <w:rPr>
          <w:rStyle w:val="Calibri11Char"/>
        </w:rPr>
        <w:t>6) Professioneel</w:t>
      </w:r>
      <w:r w:rsidR="00AA6ED2">
        <w:rPr>
          <w:rStyle w:val="Calibri11Char"/>
        </w:rPr>
        <w:t xml:space="preserve"> – huismuizen en/of bruine ratten –  binnenshuis</w:t>
      </w:r>
    </w:p>
    <w:p w14:paraId="4B3D587E" w14:textId="0E742480" w:rsidR="00134164" w:rsidRDefault="00134164" w:rsidP="00472F75">
      <w:pPr>
        <w:rPr>
          <w:rStyle w:val="Calibri11Char"/>
        </w:rPr>
      </w:pPr>
      <w:r>
        <w:rPr>
          <w:rStyle w:val="Calibri11Char"/>
        </w:rPr>
        <w:t>7) Professioneel</w:t>
      </w:r>
      <w:r w:rsidR="00AA6ED2">
        <w:rPr>
          <w:rStyle w:val="Calibri11Char"/>
        </w:rPr>
        <w:t xml:space="preserve"> – bruine ratten – buiten </w:t>
      </w:r>
      <w:r w:rsidR="00AA6ED2" w:rsidRPr="00B305E6">
        <w:rPr>
          <w:rStyle w:val="Calibri11Char"/>
        </w:rPr>
        <w:t>rond gebouwen en voedselopslagplaatsen</w:t>
      </w:r>
    </w:p>
    <w:p w14:paraId="612FDBA4" w14:textId="5BE2B75C" w:rsidR="00134164" w:rsidRDefault="00134164" w:rsidP="00472F75">
      <w:pPr>
        <w:rPr>
          <w:rStyle w:val="Calibri11Char"/>
        </w:rPr>
      </w:pPr>
      <w:r>
        <w:rPr>
          <w:rStyle w:val="Calibri11Char"/>
        </w:rPr>
        <w:t>Meta SPC 4</w:t>
      </w:r>
    </w:p>
    <w:p w14:paraId="2DD84C8B" w14:textId="048398E2" w:rsidR="00134164" w:rsidRDefault="00134164" w:rsidP="00472F75">
      <w:pPr>
        <w:rPr>
          <w:rStyle w:val="Calibri11Char"/>
        </w:rPr>
      </w:pPr>
      <w:r>
        <w:rPr>
          <w:rStyle w:val="Calibri11Char"/>
        </w:rPr>
        <w:t>8) Professioneel</w:t>
      </w:r>
      <w:r w:rsidR="00AA6ED2">
        <w:rPr>
          <w:rStyle w:val="Calibri11Char"/>
        </w:rPr>
        <w:t xml:space="preserve"> – bruine ratten –  binnenshuis</w:t>
      </w:r>
    </w:p>
    <w:p w14:paraId="66044DDF" w14:textId="720C05E3" w:rsidR="002D5E5A" w:rsidRPr="008C195F" w:rsidRDefault="00134164" w:rsidP="00472F75">
      <w:pPr>
        <w:rPr>
          <w:rFonts w:ascii="Calibri" w:hAnsi="Calibri"/>
          <w:b/>
          <w:bCs/>
        </w:rPr>
      </w:pPr>
      <w:r>
        <w:rPr>
          <w:rStyle w:val="Calibri11Char"/>
        </w:rPr>
        <w:t>9) Professioneel</w:t>
      </w:r>
      <w:r w:rsidR="00AA6ED2">
        <w:rPr>
          <w:rStyle w:val="Calibri11Char"/>
        </w:rPr>
        <w:t xml:space="preserve"> – bruine ratten – buiten </w:t>
      </w:r>
      <w:r w:rsidR="00AA6ED2" w:rsidRPr="00B305E6">
        <w:rPr>
          <w:rStyle w:val="Calibri11Char"/>
        </w:rPr>
        <w:t>rond gebouwen en voedselopslagplaatsen</w:t>
      </w:r>
    </w:p>
    <w:p w14:paraId="4E2C44D2" w14:textId="77777777" w:rsidR="002D5E5A" w:rsidRPr="008C195F" w:rsidRDefault="002D5E5A" w:rsidP="00472F75">
      <w:pPr>
        <w:rPr>
          <w:rFonts w:ascii="Calibri" w:hAnsi="Calibri"/>
          <w:b/>
          <w:bCs/>
        </w:rPr>
      </w:pPr>
    </w:p>
    <w:p w14:paraId="1358F9D8" w14:textId="77777777" w:rsidR="00472F75" w:rsidRPr="008C195F" w:rsidRDefault="00472F75" w:rsidP="00472F75">
      <w:pPr>
        <w:rPr>
          <w:rFonts w:ascii="Calibri" w:hAnsi="Calibri"/>
        </w:rPr>
      </w:pPr>
      <w:r w:rsidRPr="008C195F">
        <w:rPr>
          <w:rFonts w:ascii="Calibri" w:hAnsi="Calibri"/>
          <w:b/>
          <w:bCs/>
        </w:rPr>
        <w:t>2.2 Informatie met betrekking tot de stof</w:t>
      </w:r>
    </w:p>
    <w:p w14:paraId="577586DE" w14:textId="70C083F1" w:rsidR="00472F75" w:rsidRPr="008C195F" w:rsidRDefault="00472F75" w:rsidP="00472F75">
      <w:pPr>
        <w:rPr>
          <w:rFonts w:ascii="Calibri" w:hAnsi="Calibri" w:cs="Arial"/>
        </w:rPr>
      </w:pPr>
      <w:r>
        <w:rPr>
          <w:rStyle w:val="Calibri11Char"/>
        </w:rPr>
        <w:t xml:space="preserve">Er zijn in </w:t>
      </w:r>
      <w:r w:rsidRPr="00AA6ED2">
        <w:rPr>
          <w:rStyle w:val="Calibri11Char"/>
          <w:rFonts w:asciiTheme="minorHAnsi" w:hAnsiTheme="minorHAnsi" w:cstheme="minorHAnsi"/>
        </w:rPr>
        <w:t>Nederland reeds andere middelen op basis van de werkzame stof</w:t>
      </w:r>
      <w:r w:rsidR="00AA6ED2" w:rsidRPr="00AA6ED2">
        <w:rPr>
          <w:rStyle w:val="Calibri11Char"/>
          <w:rFonts w:asciiTheme="minorHAnsi" w:hAnsiTheme="minorHAnsi" w:cstheme="minorHAnsi"/>
        </w:rPr>
        <w:t xml:space="preserve"> </w:t>
      </w:r>
      <w:proofErr w:type="spellStart"/>
      <w:r w:rsidR="00AA6ED2" w:rsidRPr="00AA6ED2">
        <w:rPr>
          <w:rStyle w:val="Calibri11Char"/>
          <w:rFonts w:asciiTheme="minorHAnsi" w:hAnsiTheme="minorHAnsi" w:cstheme="minorHAnsi"/>
        </w:rPr>
        <w:t>brodifacoum</w:t>
      </w:r>
      <w:proofErr w:type="spellEnd"/>
      <w:r w:rsidRPr="00AA6ED2">
        <w:rPr>
          <w:rFonts w:asciiTheme="minorHAnsi" w:hAnsiTheme="minorHAnsi" w:cstheme="minorHAnsi"/>
        </w:rPr>
        <w:t xml:space="preserve"> toegelaten. De werkzame stof </w:t>
      </w:r>
      <w:proofErr w:type="spellStart"/>
      <w:r w:rsidR="00AA6ED2">
        <w:rPr>
          <w:rFonts w:asciiTheme="minorHAnsi" w:hAnsiTheme="minorHAnsi" w:cstheme="minorHAnsi"/>
        </w:rPr>
        <w:t>brodifacoum</w:t>
      </w:r>
      <w:proofErr w:type="spellEnd"/>
      <w:r w:rsidR="00944374">
        <w:rPr>
          <w:rFonts w:asciiTheme="minorHAnsi" w:hAnsiTheme="minorHAnsi" w:cstheme="minorHAnsi"/>
        </w:rPr>
        <w:t xml:space="preserve"> </w:t>
      </w:r>
      <w:hyperlink r:id="rId10" w:tgtFrame="_blank" w:history="1">
        <w:r w:rsidR="00944374" w:rsidRPr="00944374">
          <w:rPr>
            <w:rFonts w:asciiTheme="minorHAnsi" w:hAnsiTheme="minorHAnsi" w:cstheme="minorHAnsi"/>
          </w:rPr>
          <w:t>is bij Verordening (EU) 2017/1381</w:t>
        </w:r>
      </w:hyperlink>
      <w:r w:rsidRPr="00944374">
        <w:rPr>
          <w:rFonts w:asciiTheme="minorHAnsi" w:hAnsiTheme="minorHAnsi" w:cstheme="minorHAnsi"/>
        </w:rPr>
        <w:t xml:space="preserve"> </w:t>
      </w:r>
      <w:r w:rsidR="00944374" w:rsidRPr="00944374">
        <w:rPr>
          <w:rFonts w:asciiTheme="minorHAnsi" w:hAnsiTheme="minorHAnsi" w:cstheme="minorHAnsi"/>
        </w:rPr>
        <w:t xml:space="preserve">van de </w:t>
      </w:r>
      <w:r w:rsidRPr="00AA6ED2">
        <w:rPr>
          <w:rStyle w:val="Calibri11Char"/>
          <w:rFonts w:asciiTheme="minorHAnsi" w:hAnsiTheme="minorHAnsi" w:cstheme="minorHAnsi"/>
        </w:rPr>
        <w:t>Europese Commissie opgenomen in de Unielijst van goedgekeurde werkzame</w:t>
      </w:r>
      <w:r w:rsidRPr="008C195F">
        <w:rPr>
          <w:rFonts w:ascii="Calibri" w:hAnsi="Calibri" w:cs="Arial"/>
          <w:iCs/>
        </w:rPr>
        <w:t xml:space="preserve"> stoffen</w:t>
      </w:r>
      <w:r w:rsidRPr="008C195F">
        <w:rPr>
          <w:rFonts w:ascii="Calibri" w:hAnsi="Calibri" w:cs="Arial"/>
          <w:i/>
          <w:iCs/>
        </w:rPr>
        <w:t>.</w:t>
      </w:r>
    </w:p>
    <w:p w14:paraId="52C3E3B7" w14:textId="77777777" w:rsidR="00472F75" w:rsidRPr="008C195F" w:rsidRDefault="00472F75" w:rsidP="00472F75">
      <w:pPr>
        <w:pStyle w:val="Inhopg1"/>
        <w:tabs>
          <w:tab w:val="left" w:pos="708"/>
        </w:tabs>
        <w:rPr>
          <w:rFonts w:ascii="Calibri" w:hAnsi="Calibri"/>
          <w:color w:val="FF0000"/>
        </w:rPr>
      </w:pPr>
    </w:p>
    <w:p w14:paraId="4003C0FE" w14:textId="77777777" w:rsidR="00472F75" w:rsidRPr="004977CE" w:rsidRDefault="00472F75" w:rsidP="00472F75">
      <w:pPr>
        <w:rPr>
          <w:rFonts w:ascii="Calibri" w:hAnsi="Calibri"/>
        </w:rPr>
      </w:pPr>
      <w:r w:rsidRPr="004977CE">
        <w:rPr>
          <w:rFonts w:ascii="Calibri" w:hAnsi="Calibri"/>
          <w:b/>
          <w:bCs/>
        </w:rPr>
        <w:t>2.3 Karakterisering van het middel</w:t>
      </w:r>
    </w:p>
    <w:p w14:paraId="513200E6" w14:textId="2106DDCB" w:rsidR="00472F75" w:rsidRPr="008C195F" w:rsidRDefault="00DF2AAF" w:rsidP="00204304">
      <w:pPr>
        <w:pStyle w:val="Calibri11"/>
        <w:rPr>
          <w:b/>
          <w:bCs/>
          <w:i/>
          <w:color w:val="FF0000"/>
        </w:rPr>
      </w:pPr>
      <w:r>
        <w:t>Brodifacoum Family - PT14</w:t>
      </w:r>
      <w:r>
        <w:rPr>
          <w:rFonts w:cs="Arial"/>
          <w:iCs/>
        </w:rPr>
        <w:t xml:space="preserve"> </w:t>
      </w:r>
      <w:r w:rsidR="00472F75" w:rsidRPr="008C195F">
        <w:rPr>
          <w:rFonts w:cs="Arial"/>
          <w:iCs/>
        </w:rPr>
        <w:t xml:space="preserve">is </w:t>
      </w:r>
      <w:r w:rsidR="00C25D21" w:rsidRPr="008C195F">
        <w:rPr>
          <w:rFonts w:cs="Arial"/>
          <w:iCs/>
        </w:rPr>
        <w:t>een</w:t>
      </w:r>
      <w:r w:rsidR="00472F75" w:rsidRPr="008C195F">
        <w:rPr>
          <w:rFonts w:cs="Arial"/>
          <w:iCs/>
        </w:rPr>
        <w:t xml:space="preserve"> </w:t>
      </w:r>
      <w:proofErr w:type="spellStart"/>
      <w:r w:rsidR="00807B90">
        <w:rPr>
          <w:rFonts w:cs="Arial"/>
          <w:iCs/>
        </w:rPr>
        <w:t>rodenticide</w:t>
      </w:r>
      <w:proofErr w:type="spellEnd"/>
      <w:r w:rsidR="00472F75" w:rsidRPr="008C195F">
        <w:rPr>
          <w:rFonts w:cs="Arial"/>
          <w:iCs/>
        </w:rPr>
        <w:t xml:space="preserve">, </w:t>
      </w:r>
      <w:r w:rsidR="00C25D21" w:rsidRPr="008C195F">
        <w:rPr>
          <w:rFonts w:cs="Arial"/>
          <w:iCs/>
        </w:rPr>
        <w:t>op basis van de werkzame stof</w:t>
      </w:r>
      <w:r w:rsidR="00472F75" w:rsidRPr="008C195F">
        <w:rPr>
          <w:rFonts w:cs="Arial"/>
          <w:iCs/>
        </w:rPr>
        <w:t xml:space="preserve"> </w:t>
      </w:r>
      <w:proofErr w:type="spellStart"/>
      <w:r w:rsidR="00204304">
        <w:t>brodifacoum</w:t>
      </w:r>
      <w:proofErr w:type="spellEnd"/>
      <w:r w:rsidR="00204304">
        <w:t xml:space="preserve">. </w:t>
      </w:r>
      <w:r w:rsidR="00204304" w:rsidRPr="007A69A0">
        <w:rPr>
          <w:rFonts w:cs="Arial"/>
          <w:iCs/>
        </w:rPr>
        <w:t>De werkzame stof is een antagonist van vitamine K en wordt gebruikt als anticoagulans</w:t>
      </w:r>
      <w:r w:rsidR="00204304">
        <w:rPr>
          <w:rFonts w:cs="Arial"/>
          <w:iCs/>
        </w:rPr>
        <w:t xml:space="preserve"> en </w:t>
      </w:r>
      <w:r w:rsidR="00204304" w:rsidRPr="007A69A0">
        <w:rPr>
          <w:rFonts w:cs="Arial"/>
          <w:iCs/>
        </w:rPr>
        <w:t xml:space="preserve">interfereert met de regeneratie van </w:t>
      </w:r>
      <w:proofErr w:type="spellStart"/>
      <w:r w:rsidR="009B78A5">
        <w:rPr>
          <w:rFonts w:cs="Arial"/>
          <w:iCs/>
        </w:rPr>
        <w:t>protombine</w:t>
      </w:r>
      <w:proofErr w:type="spellEnd"/>
      <w:r w:rsidR="00204304" w:rsidRPr="007A69A0">
        <w:rPr>
          <w:rFonts w:cs="Arial"/>
          <w:iCs/>
        </w:rPr>
        <w:t>, waardoor de normale bloedstolling verstoord wordt en de kans op bloedingen wordt verhoogd</w:t>
      </w:r>
      <w:r w:rsidR="00204304">
        <w:rPr>
          <w:rFonts w:cs="Arial"/>
          <w:iCs/>
        </w:rPr>
        <w:t>.</w:t>
      </w:r>
    </w:p>
    <w:p w14:paraId="0659584A" w14:textId="77777777" w:rsidR="00DF2AAF" w:rsidRPr="008C195F" w:rsidRDefault="00DF2AAF" w:rsidP="00472F75">
      <w:pPr>
        <w:rPr>
          <w:rFonts w:ascii="Calibri" w:hAnsi="Calibri"/>
          <w:b/>
          <w:bCs/>
          <w:color w:val="FF0000"/>
        </w:rPr>
      </w:pPr>
    </w:p>
    <w:p w14:paraId="2C9CD577" w14:textId="77777777" w:rsidR="00472F75" w:rsidRPr="008C195F" w:rsidRDefault="00472F75" w:rsidP="00472F75">
      <w:pPr>
        <w:rPr>
          <w:rFonts w:ascii="Calibri" w:hAnsi="Calibri"/>
        </w:rPr>
      </w:pPr>
      <w:r w:rsidRPr="008C195F">
        <w:rPr>
          <w:rFonts w:ascii="Calibri" w:hAnsi="Calibri"/>
          <w:b/>
          <w:bCs/>
        </w:rPr>
        <w:t>2.4 Voorgeschiedenis</w:t>
      </w:r>
    </w:p>
    <w:p w14:paraId="17B6141E" w14:textId="19C923FE" w:rsidR="00472F75" w:rsidRPr="008C195F" w:rsidRDefault="00472F75" w:rsidP="00472F75">
      <w:pPr>
        <w:rPr>
          <w:rFonts w:ascii="Calibri" w:hAnsi="Calibri"/>
        </w:rPr>
      </w:pPr>
      <w:r>
        <w:rPr>
          <w:rStyle w:val="Calibri11Char"/>
        </w:rPr>
        <w:t xml:space="preserve">De aanvraag is </w:t>
      </w:r>
      <w:r w:rsidRPr="00EC6C1D">
        <w:rPr>
          <w:rStyle w:val="Calibri11Char"/>
          <w:rFonts w:asciiTheme="minorHAnsi" w:hAnsiTheme="minorHAnsi" w:cstheme="minorHAnsi"/>
        </w:rPr>
        <w:t xml:space="preserve">op </w:t>
      </w:r>
      <w:r w:rsidR="00CA4785">
        <w:rPr>
          <w:rStyle w:val="Calibri11Char"/>
          <w:rFonts w:asciiTheme="minorHAnsi" w:hAnsiTheme="minorHAnsi" w:cstheme="minorHAnsi"/>
        </w:rPr>
        <w:t>5 maart</w:t>
      </w:r>
      <w:r w:rsidRPr="00EC6C1D">
        <w:rPr>
          <w:rFonts w:asciiTheme="minorHAnsi" w:hAnsiTheme="minorHAnsi" w:cstheme="minorHAnsi"/>
        </w:rPr>
        <w:t>2020 ontvangen; op 25 maart 2020</w:t>
      </w:r>
      <w:r w:rsidRPr="00EC6C1D">
        <w:rPr>
          <w:rStyle w:val="Calibri11Char"/>
          <w:rFonts w:asciiTheme="minorHAnsi" w:hAnsiTheme="minorHAnsi" w:cstheme="minorHAnsi"/>
        </w:rPr>
        <w:t xml:space="preserve"> zijn de verschuldigde aanvraagkosten ontvangen</w:t>
      </w:r>
      <w:r w:rsidRPr="008C195F">
        <w:rPr>
          <w:rFonts w:ascii="Calibri" w:hAnsi="Calibri"/>
        </w:rPr>
        <w:t xml:space="preserve">. </w:t>
      </w:r>
    </w:p>
    <w:p w14:paraId="0CCA7EB4" w14:textId="3E69EDF5" w:rsidR="00EC6C1D" w:rsidRDefault="00EC6C1D">
      <w:pPr>
        <w:rPr>
          <w:rStyle w:val="Opmaakprofiel10ptVet"/>
          <w:rFonts w:ascii="Calibri" w:hAnsi="Calibri"/>
          <w:spacing w:val="-2"/>
        </w:rPr>
      </w:pPr>
    </w:p>
    <w:p w14:paraId="5DD56A9B" w14:textId="65240889" w:rsidR="00C56E1B" w:rsidRPr="003F43D7" w:rsidRDefault="00C56E1B" w:rsidP="00C56E1B">
      <w:pPr>
        <w:rPr>
          <w:rFonts w:ascii="Calibri" w:hAnsi="Calibri"/>
          <w:b/>
        </w:rPr>
      </w:pPr>
      <w:r w:rsidRPr="003F43D7">
        <w:rPr>
          <w:rFonts w:ascii="Calibri" w:hAnsi="Calibri"/>
          <w:b/>
        </w:rPr>
        <w:t>2.</w:t>
      </w:r>
      <w:r>
        <w:rPr>
          <w:rFonts w:ascii="Calibri" w:hAnsi="Calibri"/>
          <w:b/>
        </w:rPr>
        <w:t>5</w:t>
      </w:r>
      <w:r w:rsidRPr="003F43D7">
        <w:rPr>
          <w:rFonts w:ascii="Calibri" w:hAnsi="Calibri"/>
          <w:b/>
        </w:rPr>
        <w:t xml:space="preserve"> Nederland-specifieke elementen in de toelating</w:t>
      </w:r>
    </w:p>
    <w:p w14:paraId="5F67B59E" w14:textId="77777777" w:rsidR="00C56E1B" w:rsidRPr="003F43D7" w:rsidRDefault="00C56E1B" w:rsidP="00C56E1B">
      <w:pPr>
        <w:rPr>
          <w:rFonts w:ascii="Calibri" w:hAnsi="Calibri"/>
        </w:rPr>
      </w:pPr>
      <w:r w:rsidRPr="003F43D7">
        <w:rPr>
          <w:rFonts w:ascii="Calibri" w:hAnsi="Calibri"/>
        </w:rPr>
        <w:t>De volgende nationaal specifieke elementen kunnen van toepassing zijn op anticoagulantia:</w:t>
      </w:r>
    </w:p>
    <w:p w14:paraId="28AF56A0" w14:textId="77777777" w:rsidR="00C56E1B" w:rsidRPr="003F43D7" w:rsidRDefault="00C56E1B" w:rsidP="00C56E1B">
      <w:pPr>
        <w:numPr>
          <w:ilvl w:val="0"/>
          <w:numId w:val="17"/>
        </w:numPr>
        <w:rPr>
          <w:rFonts w:ascii="Calibri" w:hAnsi="Calibri"/>
        </w:rPr>
      </w:pPr>
      <w:r w:rsidRPr="003F43D7">
        <w:rPr>
          <w:rFonts w:ascii="Calibri" w:hAnsi="Calibri"/>
        </w:rPr>
        <w:t>In Nederland is het gebruik van biociden ter bestrijding van ratten door niet-professionele gebruikers niet toegestaan.</w:t>
      </w:r>
    </w:p>
    <w:p w14:paraId="699B0500" w14:textId="77777777" w:rsidR="00C56E1B" w:rsidRPr="003F43D7" w:rsidRDefault="00C56E1B" w:rsidP="00C56E1B">
      <w:pPr>
        <w:numPr>
          <w:ilvl w:val="0"/>
          <w:numId w:val="17"/>
        </w:numPr>
        <w:rPr>
          <w:rFonts w:ascii="Calibri" w:hAnsi="Calibri"/>
        </w:rPr>
      </w:pPr>
      <w:r w:rsidRPr="003F43D7">
        <w:rPr>
          <w:rFonts w:ascii="Calibri" w:hAnsi="Calibri"/>
        </w:rPr>
        <w:t>Anticoagulantia mogen in Nederland buiten alleen gebruikt worden door gecertificeerde professionele gebruikers als laatste schakel in een strikt IPM protocol, zoals beschreven in het ‘Handboek beheersing rattenpopulaties om gebouwen en voedselopslagplaatsen’.</w:t>
      </w:r>
    </w:p>
    <w:p w14:paraId="7B1BB8C6" w14:textId="77777777" w:rsidR="00C56E1B" w:rsidRPr="003F43D7" w:rsidRDefault="00C56E1B" w:rsidP="00C56E1B">
      <w:pPr>
        <w:numPr>
          <w:ilvl w:val="0"/>
          <w:numId w:val="17"/>
        </w:numPr>
        <w:rPr>
          <w:rFonts w:ascii="Calibri" w:hAnsi="Calibri"/>
        </w:rPr>
      </w:pPr>
      <w:r w:rsidRPr="003F43D7">
        <w:rPr>
          <w:rFonts w:ascii="Calibri" w:hAnsi="Calibri"/>
        </w:rPr>
        <w:t>Het gebruik van eerste generatie anticoagulantia is in Nederland niet toegestaan ter bestrijding van bruine ratten.</w:t>
      </w:r>
    </w:p>
    <w:p w14:paraId="718C73B8" w14:textId="77777777" w:rsidR="00C56E1B" w:rsidRPr="003F43D7" w:rsidRDefault="00C56E1B" w:rsidP="00C56E1B">
      <w:pPr>
        <w:numPr>
          <w:ilvl w:val="0"/>
          <w:numId w:val="17"/>
        </w:numPr>
        <w:rPr>
          <w:rFonts w:ascii="Calibri" w:hAnsi="Calibri"/>
        </w:rPr>
      </w:pPr>
      <w:r w:rsidRPr="003F43D7">
        <w:rPr>
          <w:rFonts w:ascii="Calibri" w:hAnsi="Calibri"/>
        </w:rPr>
        <w:t>In Nederland worden voor onderbouwing van de claim ‘gebruik ter bestrijding van ratten’ werkzaamheidsgegevens met bruine en zwarte ratten geëist waaruit blijkt dat het biocide voldoende werkzaam is tegen beide soorten ratten.</w:t>
      </w:r>
    </w:p>
    <w:p w14:paraId="00DA9D69" w14:textId="77777777" w:rsidR="00C56E1B" w:rsidRPr="00C56E1B" w:rsidRDefault="00C56E1B">
      <w:pPr>
        <w:rPr>
          <w:rStyle w:val="Opmaakprofiel10ptVet"/>
          <w:rFonts w:ascii="Calibri" w:hAnsi="Calibri"/>
          <w:spacing w:val="-2"/>
          <w:lang w:val="nl-NL"/>
        </w:rPr>
      </w:pPr>
    </w:p>
    <w:p w14:paraId="77ECCB19" w14:textId="67721C1C" w:rsidR="00472F75" w:rsidRPr="008C195F" w:rsidRDefault="00472F75" w:rsidP="00472F75">
      <w:pPr>
        <w:rPr>
          <w:rStyle w:val="Opmaakprofiel10ptVet"/>
          <w:rFonts w:ascii="Calibri" w:hAnsi="Calibri"/>
        </w:rPr>
      </w:pPr>
      <w:r w:rsidRPr="008C195F">
        <w:rPr>
          <w:rStyle w:val="Opmaakprofiel10ptVet"/>
          <w:rFonts w:ascii="Calibri" w:hAnsi="Calibri"/>
          <w:spacing w:val="-2"/>
        </w:rPr>
        <w:t>2.</w:t>
      </w:r>
      <w:r w:rsidR="00C56E1B">
        <w:rPr>
          <w:rStyle w:val="Opmaakprofiel10ptVet"/>
          <w:rFonts w:ascii="Calibri" w:hAnsi="Calibri"/>
          <w:spacing w:val="-2"/>
        </w:rPr>
        <w:t>6</w:t>
      </w:r>
      <w:r w:rsidRPr="008C195F">
        <w:rPr>
          <w:rStyle w:val="Opmaakprofiel10ptVet"/>
          <w:rFonts w:ascii="Calibri" w:hAnsi="Calibri"/>
          <w:spacing w:val="-2"/>
        </w:rPr>
        <w:t xml:space="preserve"> </w:t>
      </w:r>
      <w:r w:rsidRPr="008C195F">
        <w:rPr>
          <w:rStyle w:val="Opmaakprofiel10ptVet"/>
          <w:rFonts w:ascii="Calibri" w:hAnsi="Calibri"/>
        </w:rPr>
        <w:t xml:space="preserve"> Eindconclusie</w:t>
      </w:r>
    </w:p>
    <w:p w14:paraId="6DF0961F" w14:textId="54768CBB" w:rsidR="00472F75" w:rsidRPr="008C195F" w:rsidRDefault="00472F75" w:rsidP="00472F75">
      <w:pPr>
        <w:rPr>
          <w:rFonts w:ascii="Calibri" w:hAnsi="Calibri"/>
        </w:rPr>
      </w:pPr>
      <w:r>
        <w:rPr>
          <w:rStyle w:val="Calibri11Char"/>
        </w:rPr>
        <w:t xml:space="preserve">Bij gebruik volgens de voorschriften </w:t>
      </w:r>
      <w:r w:rsidR="00EC6C1D">
        <w:rPr>
          <w:rStyle w:val="Calibri11Char"/>
        </w:rPr>
        <w:t xml:space="preserve">zijn de </w:t>
      </w:r>
      <w:r w:rsidRPr="00EC6C1D">
        <w:rPr>
          <w:rStyle w:val="Calibri11Char"/>
          <w:rFonts w:asciiTheme="minorHAnsi" w:hAnsiTheme="minorHAnsi" w:cstheme="minorHAnsi"/>
        </w:rPr>
        <w:t>middel</w:t>
      </w:r>
      <w:r w:rsidR="00EC6C1D">
        <w:rPr>
          <w:rStyle w:val="Calibri11Char"/>
          <w:rFonts w:asciiTheme="minorHAnsi" w:hAnsiTheme="minorHAnsi" w:cstheme="minorHAnsi"/>
        </w:rPr>
        <w:t xml:space="preserve">en in de </w:t>
      </w:r>
      <w:proofErr w:type="spellStart"/>
      <w:r w:rsidR="00EC6C1D">
        <w:rPr>
          <w:rStyle w:val="Calibri11Char"/>
          <w:rFonts w:asciiTheme="minorHAnsi" w:hAnsiTheme="minorHAnsi" w:cstheme="minorHAnsi"/>
        </w:rPr>
        <w:t>biocidenfamilie</w:t>
      </w:r>
      <w:proofErr w:type="spellEnd"/>
      <w:r w:rsidRPr="00EC6C1D">
        <w:rPr>
          <w:rStyle w:val="Calibri11Char"/>
          <w:rFonts w:asciiTheme="minorHAnsi" w:hAnsiTheme="minorHAnsi" w:cstheme="minorHAnsi"/>
        </w:rPr>
        <w:t xml:space="preserve"> </w:t>
      </w:r>
      <w:proofErr w:type="spellStart"/>
      <w:r w:rsidRPr="00EC6C1D">
        <w:rPr>
          <w:rFonts w:asciiTheme="minorHAnsi" w:hAnsiTheme="minorHAnsi" w:cstheme="minorHAnsi"/>
        </w:rPr>
        <w:t>Brodifacoum</w:t>
      </w:r>
      <w:proofErr w:type="spellEnd"/>
      <w:r w:rsidRPr="00EC6C1D">
        <w:rPr>
          <w:rFonts w:asciiTheme="minorHAnsi" w:hAnsiTheme="minorHAnsi" w:cstheme="minorHAnsi"/>
        </w:rPr>
        <w:t xml:space="preserve"> Family - PT14 op basis van de werkzame stof </w:t>
      </w:r>
      <w:proofErr w:type="spellStart"/>
      <w:r w:rsidR="00EC6C1D">
        <w:rPr>
          <w:rFonts w:asciiTheme="minorHAnsi" w:hAnsiTheme="minorHAnsi" w:cstheme="minorHAnsi"/>
        </w:rPr>
        <w:t>brodifacoum</w:t>
      </w:r>
      <w:proofErr w:type="spellEnd"/>
      <w:r w:rsidR="00EC6C1D">
        <w:rPr>
          <w:rFonts w:asciiTheme="minorHAnsi" w:hAnsiTheme="minorHAnsi" w:cstheme="minorHAnsi"/>
        </w:rPr>
        <w:t xml:space="preserve"> </w:t>
      </w:r>
      <w:r w:rsidRPr="00EC6C1D">
        <w:rPr>
          <w:rStyle w:val="Calibri11Char"/>
          <w:rFonts w:asciiTheme="minorHAnsi" w:hAnsiTheme="minorHAnsi" w:cstheme="minorHAnsi"/>
        </w:rPr>
        <w:t xml:space="preserve">voldoende werkzaam en </w:t>
      </w:r>
      <w:r w:rsidR="00CA4785">
        <w:rPr>
          <w:rStyle w:val="Calibri11Char"/>
          <w:rFonts w:asciiTheme="minorHAnsi" w:hAnsiTheme="minorHAnsi" w:cstheme="minorHAnsi"/>
        </w:rPr>
        <w:t>hebben</w:t>
      </w:r>
      <w:r w:rsidRPr="00EC6C1D">
        <w:rPr>
          <w:rStyle w:val="Calibri11Char"/>
          <w:rFonts w:asciiTheme="minorHAnsi" w:hAnsiTheme="minorHAnsi" w:cstheme="minorHAnsi"/>
        </w:rPr>
        <w:t>het geen schadelijke uitwerking op de gezondheid van de mens en het</w:t>
      </w:r>
      <w:r w:rsidRPr="00EC6C1D">
        <w:rPr>
          <w:rFonts w:asciiTheme="minorHAnsi" w:hAnsiTheme="minorHAnsi" w:cstheme="minorHAnsi"/>
        </w:rPr>
        <w:t xml:space="preserve"> milieu.</w:t>
      </w:r>
    </w:p>
    <w:p w14:paraId="41BC2723" w14:textId="77777777" w:rsidR="00CA24C0" w:rsidRPr="008C195F" w:rsidRDefault="00CA24C0" w:rsidP="00222660">
      <w:pPr>
        <w:rPr>
          <w:rFonts w:ascii="Calibri" w:hAnsi="Calibri" w:cs="Arial"/>
        </w:rPr>
      </w:pPr>
    </w:p>
    <w:p w14:paraId="6A363790" w14:textId="14CB305B" w:rsidR="00222660" w:rsidRPr="008C195F" w:rsidRDefault="00C84E0C" w:rsidP="00222660">
      <w:pPr>
        <w:rPr>
          <w:rFonts w:ascii="Calibri" w:hAnsi="Calibri" w:cs="Arial"/>
        </w:rPr>
      </w:pPr>
      <w:r w:rsidRPr="008C195F">
        <w:rPr>
          <w:rFonts w:ascii="Calibri" w:hAnsi="Calibri" w:cs="Arial"/>
        </w:rPr>
        <w:object w:dxaOrig="9072" w:dyaOrig="1880" w14:anchorId="2C247D38">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3CFE84F3" w14:textId="77777777" w:rsidR="00222660" w:rsidRPr="008C195F" w:rsidRDefault="00222660" w:rsidP="00222660">
      <w:pPr>
        <w:rPr>
          <w:rFonts w:ascii="Calibri" w:hAnsi="Calibri" w:cs="Arial"/>
          <w:i/>
        </w:rPr>
      </w:pPr>
    </w:p>
    <w:p w14:paraId="0B3F3EDD" w14:textId="4B6BEE95" w:rsidR="00222660" w:rsidRPr="008C195F" w:rsidRDefault="008C195F" w:rsidP="00222660">
      <w:pPr>
        <w:rPr>
          <w:rFonts w:ascii="Calibri" w:hAnsi="Calibri" w:cs="Arial"/>
        </w:rPr>
      </w:pPr>
      <w:r>
        <w:rPr>
          <w:rFonts w:ascii="Calibri" w:hAnsi="Calibri" w:cs="Arial"/>
        </w:rPr>
        <w:t>Ede</w:t>
      </w:r>
      <w:r w:rsidR="00222660" w:rsidRPr="008C195F">
        <w:rPr>
          <w:rFonts w:ascii="Calibri" w:hAnsi="Calibri" w:cs="Arial"/>
        </w:rPr>
        <w:t>,</w:t>
      </w:r>
      <w:r w:rsidR="00EC6C1D">
        <w:t xml:space="preserve"> </w:t>
      </w:r>
      <w:r w:rsidR="00EC6C1D">
        <w:rPr>
          <w:rFonts w:asciiTheme="minorHAnsi" w:hAnsiTheme="minorHAnsi" w:cstheme="minorHAnsi"/>
        </w:rPr>
        <w:t>4 september 2020</w:t>
      </w:r>
      <w:r w:rsidR="00222660" w:rsidRPr="008C195F">
        <w:rPr>
          <w:rFonts w:ascii="Calibri" w:hAnsi="Calibri" w:cs="Arial"/>
        </w:rPr>
        <w:t xml:space="preserve"> </w:t>
      </w:r>
      <w:sdt>
        <w:sdtPr>
          <w:alias w:val="datumbesluit"/>
          <w:id w:val="-1814633643"/>
          <w:lock w:val="contentLocked"/>
          <w:showingPlcHdr/>
          <w:dataBinding w:xpath="*/field[@name='datumbesluit']" w:storeItemID="{4F70656E-494D-5357-6F72-647630303030}"/>
          <w:text w:multiLine="1"/>
        </w:sdtPr>
        <w:sdtEndPr/>
        <w:sdtContent>
          <w:r w:rsidR="001E0B0C">
            <w:t xml:space="preserve">     </w:t>
          </w:r>
        </w:sdtContent>
      </w:sdt>
    </w:p>
    <w:p w14:paraId="145B5CEF" w14:textId="77777777" w:rsidR="00B4664A" w:rsidRPr="008C195F" w:rsidRDefault="00B4664A" w:rsidP="00222660">
      <w:pPr>
        <w:rPr>
          <w:rFonts w:ascii="Calibri" w:hAnsi="Calibri" w:cs="Arial"/>
        </w:rPr>
      </w:pPr>
    </w:p>
    <w:p w14:paraId="02A000BA" w14:textId="1CF70E79" w:rsidR="004E04B5" w:rsidRPr="008C195F" w:rsidRDefault="00C84E0C" w:rsidP="00224522">
      <w:pPr>
        <w:rPr>
          <w:rFonts w:ascii="Calibri" w:hAnsi="Calibri"/>
        </w:rPr>
      </w:pPr>
      <w:r w:rsidRPr="008C195F">
        <w:rPr>
          <w:rFonts w:ascii="Calibri" w:hAnsi="Calibri"/>
        </w:rPr>
        <w:object w:dxaOrig="9072" w:dyaOrig="2417" w14:anchorId="0EE49ABF">
          <v:shape id="_x0000_i1027" type="#_x0000_t75" style="width:453.75pt;height:114pt" o:ole="">
            <v:imagedata r:id="rId13" o:title=""/>
          </v:shape>
          <o:OLEObject Type="Link" ProgID="Word.Document.8" ShapeID="_x0000_i1027" DrawAspect="Content" r:id="rId14" UpdateMode="Always">
            <o:LinkType>EnhancedMetaFile</o:LinkType>
            <o:LockedField>false</o:LockedField>
            <o:FieldCodes>\f 0 \* MERGEFORMAT</o:FieldCodes>
          </o:OLEObject>
        </w:object>
      </w:r>
    </w:p>
    <w:sectPr w:rsidR="004E04B5" w:rsidRPr="008C195F" w:rsidSect="004E04B5">
      <w:headerReference w:type="default" r:id="rId15"/>
      <w:footerReference w:type="even" r:id="rId16"/>
      <w:footerReference w:type="default" r:id="rId17"/>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8CAD" w14:textId="77777777" w:rsidR="002873EE" w:rsidRDefault="002873EE">
      <w:r>
        <w:separator/>
      </w:r>
    </w:p>
  </w:endnote>
  <w:endnote w:type="continuationSeparator" w:id="0">
    <w:p w14:paraId="4899ED9B" w14:textId="77777777" w:rsidR="002873EE" w:rsidRDefault="002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14A4"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CEBE01" w14:textId="77777777" w:rsidR="00106674" w:rsidRDefault="00106674"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5685"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80EFA">
      <w:rPr>
        <w:rStyle w:val="Paginanummer"/>
        <w:noProof/>
      </w:rPr>
      <w:t>2</w:t>
    </w:r>
    <w:r>
      <w:rPr>
        <w:rStyle w:val="Paginanummer"/>
      </w:rPr>
      <w:fldChar w:fldCharType="end"/>
    </w:r>
  </w:p>
  <w:p w14:paraId="5B17ECC1" w14:textId="77777777" w:rsidR="00106674" w:rsidRPr="00DE28EA" w:rsidRDefault="00106674" w:rsidP="004977CE">
    <w:pPr>
      <w:pStyle w:val="Calibri11"/>
      <w:rPr>
        <w:bCs/>
        <w:sz w:val="18"/>
        <w:szCs w:val="18"/>
      </w:rPr>
    </w:pPr>
    <w:r>
      <w:t>Brodifacoum Family - PT14</w:t>
    </w:r>
    <w:r>
      <w:rPr>
        <w:bCs/>
        <w:sz w:val="18"/>
        <w:szCs w:val="18"/>
      </w:rPr>
      <w:t xml:space="preserve">, </w:t>
    </w:r>
    <w:r>
      <w:t>20200446 B-TWEFNS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A8D2" w14:textId="77777777" w:rsidR="002873EE" w:rsidRDefault="002873EE">
      <w:r>
        <w:separator/>
      </w:r>
    </w:p>
  </w:footnote>
  <w:footnote w:type="continuationSeparator" w:id="0">
    <w:p w14:paraId="3ADE302C" w14:textId="77777777" w:rsidR="002873EE" w:rsidRDefault="0028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57D2" w14:textId="441DE2C1" w:rsidR="00106674" w:rsidRPr="00BC204C" w:rsidRDefault="00EC6C1D" w:rsidP="004977CE">
    <w:pPr>
      <w:pStyle w:val="Calibri11"/>
      <w:rPr>
        <w:sz w:val="20"/>
      </w:rPr>
    </w:pPr>
    <w:r>
      <w:t>N</w:t>
    </w:r>
    <w:r w:rsidRPr="00A11091">
      <w:t>L-</w:t>
    </w:r>
    <w:r>
      <w:rPr>
        <w:rStyle w:val="frmlbl4"/>
      </w:rPr>
      <w:t>0023660-0000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502B2B"/>
    <w:multiLevelType w:val="hybridMultilevel"/>
    <w:tmpl w:val="8C6A2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4"/>
  </w:num>
  <w:num w:numId="5">
    <w:abstractNumId w:val="9"/>
  </w:num>
  <w:num w:numId="6">
    <w:abstractNumId w:val="16"/>
  </w:num>
  <w:num w:numId="7">
    <w:abstractNumId w:val="0"/>
  </w:num>
  <w:num w:numId="8">
    <w:abstractNumId w:val="3"/>
  </w:num>
  <w:num w:numId="9">
    <w:abstractNumId w:val="10"/>
  </w:num>
  <w:num w:numId="10">
    <w:abstractNumId w:val="12"/>
  </w:num>
  <w:num w:numId="11">
    <w:abstractNumId w:val="2"/>
  </w:num>
  <w:num w:numId="12">
    <w:abstractNumId w:val="1"/>
  </w:num>
  <w:num w:numId="13">
    <w:abstractNumId w:val="13"/>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53751"/>
    <w:rsid w:val="00066F8A"/>
    <w:rsid w:val="00067E0F"/>
    <w:rsid w:val="00071794"/>
    <w:rsid w:val="00072D5E"/>
    <w:rsid w:val="00075B0A"/>
    <w:rsid w:val="00094F69"/>
    <w:rsid w:val="000A4AD1"/>
    <w:rsid w:val="000B0F55"/>
    <w:rsid w:val="000C2DC5"/>
    <w:rsid w:val="000D5B11"/>
    <w:rsid w:val="000F47A1"/>
    <w:rsid w:val="0010652E"/>
    <w:rsid w:val="00106674"/>
    <w:rsid w:val="00111884"/>
    <w:rsid w:val="00116065"/>
    <w:rsid w:val="00134164"/>
    <w:rsid w:val="00140977"/>
    <w:rsid w:val="001558BD"/>
    <w:rsid w:val="00163AF0"/>
    <w:rsid w:val="00170894"/>
    <w:rsid w:val="0017659A"/>
    <w:rsid w:val="001E0774"/>
    <w:rsid w:val="001E0B0C"/>
    <w:rsid w:val="002011D6"/>
    <w:rsid w:val="00204304"/>
    <w:rsid w:val="00205600"/>
    <w:rsid w:val="002119B6"/>
    <w:rsid w:val="00222660"/>
    <w:rsid w:val="00224522"/>
    <w:rsid w:val="0022589F"/>
    <w:rsid w:val="00241CA8"/>
    <w:rsid w:val="0024510B"/>
    <w:rsid w:val="002873EE"/>
    <w:rsid w:val="002962C2"/>
    <w:rsid w:val="002A16BF"/>
    <w:rsid w:val="002A6BE6"/>
    <w:rsid w:val="002A7DFA"/>
    <w:rsid w:val="002C184B"/>
    <w:rsid w:val="002C49BD"/>
    <w:rsid w:val="002D4AA9"/>
    <w:rsid w:val="002D5E5A"/>
    <w:rsid w:val="002D7EE0"/>
    <w:rsid w:val="002E0991"/>
    <w:rsid w:val="002F5B25"/>
    <w:rsid w:val="00301ED7"/>
    <w:rsid w:val="00333FB5"/>
    <w:rsid w:val="00354DCE"/>
    <w:rsid w:val="00355F26"/>
    <w:rsid w:val="00370D64"/>
    <w:rsid w:val="00391DFE"/>
    <w:rsid w:val="003C0E4F"/>
    <w:rsid w:val="003E658B"/>
    <w:rsid w:val="00406797"/>
    <w:rsid w:val="00422E34"/>
    <w:rsid w:val="004254C5"/>
    <w:rsid w:val="00427149"/>
    <w:rsid w:val="00427A2D"/>
    <w:rsid w:val="004424DF"/>
    <w:rsid w:val="00472F75"/>
    <w:rsid w:val="004977CE"/>
    <w:rsid w:val="004B06DB"/>
    <w:rsid w:val="004B358B"/>
    <w:rsid w:val="004C01C7"/>
    <w:rsid w:val="004D0D11"/>
    <w:rsid w:val="004E04B5"/>
    <w:rsid w:val="004E4BB1"/>
    <w:rsid w:val="0050129D"/>
    <w:rsid w:val="0051057B"/>
    <w:rsid w:val="00523016"/>
    <w:rsid w:val="00527602"/>
    <w:rsid w:val="005367C2"/>
    <w:rsid w:val="0054063F"/>
    <w:rsid w:val="005425AD"/>
    <w:rsid w:val="005516CC"/>
    <w:rsid w:val="00553D00"/>
    <w:rsid w:val="00565646"/>
    <w:rsid w:val="005917D7"/>
    <w:rsid w:val="00592ED7"/>
    <w:rsid w:val="005A2F99"/>
    <w:rsid w:val="005D6A7E"/>
    <w:rsid w:val="005E02A8"/>
    <w:rsid w:val="005E5223"/>
    <w:rsid w:val="005F4643"/>
    <w:rsid w:val="006062E4"/>
    <w:rsid w:val="00607CD3"/>
    <w:rsid w:val="006147F8"/>
    <w:rsid w:val="00622A8F"/>
    <w:rsid w:val="00630B2E"/>
    <w:rsid w:val="006362F8"/>
    <w:rsid w:val="00636DDD"/>
    <w:rsid w:val="0064423F"/>
    <w:rsid w:val="00644666"/>
    <w:rsid w:val="006477E4"/>
    <w:rsid w:val="00657111"/>
    <w:rsid w:val="006924D1"/>
    <w:rsid w:val="00695977"/>
    <w:rsid w:val="006B0E48"/>
    <w:rsid w:val="006B11A4"/>
    <w:rsid w:val="006B1B85"/>
    <w:rsid w:val="006D331B"/>
    <w:rsid w:val="006F5BDD"/>
    <w:rsid w:val="006F687D"/>
    <w:rsid w:val="00703F27"/>
    <w:rsid w:val="00704E3E"/>
    <w:rsid w:val="00714080"/>
    <w:rsid w:val="0073408A"/>
    <w:rsid w:val="00737660"/>
    <w:rsid w:val="007376C4"/>
    <w:rsid w:val="007444EC"/>
    <w:rsid w:val="007505FE"/>
    <w:rsid w:val="00761A90"/>
    <w:rsid w:val="00762E2C"/>
    <w:rsid w:val="00781123"/>
    <w:rsid w:val="00781C21"/>
    <w:rsid w:val="00786D7E"/>
    <w:rsid w:val="007C533C"/>
    <w:rsid w:val="007E46A1"/>
    <w:rsid w:val="007F1A9A"/>
    <w:rsid w:val="007F4D57"/>
    <w:rsid w:val="00804A34"/>
    <w:rsid w:val="00807B90"/>
    <w:rsid w:val="00815781"/>
    <w:rsid w:val="008161F1"/>
    <w:rsid w:val="00824ECE"/>
    <w:rsid w:val="00833E95"/>
    <w:rsid w:val="00853495"/>
    <w:rsid w:val="00883332"/>
    <w:rsid w:val="008833FA"/>
    <w:rsid w:val="008B14D4"/>
    <w:rsid w:val="008B7B80"/>
    <w:rsid w:val="008C195F"/>
    <w:rsid w:val="008D7143"/>
    <w:rsid w:val="008D7B04"/>
    <w:rsid w:val="008E223F"/>
    <w:rsid w:val="009145E9"/>
    <w:rsid w:val="00923112"/>
    <w:rsid w:val="00933928"/>
    <w:rsid w:val="0094429E"/>
    <w:rsid w:val="00944374"/>
    <w:rsid w:val="00944425"/>
    <w:rsid w:val="009467B5"/>
    <w:rsid w:val="00946BC8"/>
    <w:rsid w:val="00950F6E"/>
    <w:rsid w:val="00951C87"/>
    <w:rsid w:val="00961F4D"/>
    <w:rsid w:val="00963C5E"/>
    <w:rsid w:val="009771CA"/>
    <w:rsid w:val="009B6D4F"/>
    <w:rsid w:val="009B78A5"/>
    <w:rsid w:val="009C14C8"/>
    <w:rsid w:val="009E1DAC"/>
    <w:rsid w:val="009F74F9"/>
    <w:rsid w:val="00A04871"/>
    <w:rsid w:val="00A11091"/>
    <w:rsid w:val="00A120FC"/>
    <w:rsid w:val="00A1451E"/>
    <w:rsid w:val="00A20F82"/>
    <w:rsid w:val="00A2125F"/>
    <w:rsid w:val="00A364A0"/>
    <w:rsid w:val="00A43A68"/>
    <w:rsid w:val="00A43A8D"/>
    <w:rsid w:val="00A56B3B"/>
    <w:rsid w:val="00A66837"/>
    <w:rsid w:val="00A85D2B"/>
    <w:rsid w:val="00A90600"/>
    <w:rsid w:val="00AA45CF"/>
    <w:rsid w:val="00AA6ED2"/>
    <w:rsid w:val="00AD1C1F"/>
    <w:rsid w:val="00AD429A"/>
    <w:rsid w:val="00AE0ED6"/>
    <w:rsid w:val="00AE5CC3"/>
    <w:rsid w:val="00AE623F"/>
    <w:rsid w:val="00B0639F"/>
    <w:rsid w:val="00B111BC"/>
    <w:rsid w:val="00B203EE"/>
    <w:rsid w:val="00B30510"/>
    <w:rsid w:val="00B31648"/>
    <w:rsid w:val="00B4664A"/>
    <w:rsid w:val="00B46F5D"/>
    <w:rsid w:val="00B5639A"/>
    <w:rsid w:val="00B62EC3"/>
    <w:rsid w:val="00B74194"/>
    <w:rsid w:val="00B9038B"/>
    <w:rsid w:val="00B93B51"/>
    <w:rsid w:val="00BB181D"/>
    <w:rsid w:val="00BC204C"/>
    <w:rsid w:val="00BC2238"/>
    <w:rsid w:val="00BC63C4"/>
    <w:rsid w:val="00BF2211"/>
    <w:rsid w:val="00BF4740"/>
    <w:rsid w:val="00C06DD4"/>
    <w:rsid w:val="00C071E0"/>
    <w:rsid w:val="00C25D21"/>
    <w:rsid w:val="00C405A4"/>
    <w:rsid w:val="00C43A8B"/>
    <w:rsid w:val="00C4607C"/>
    <w:rsid w:val="00C540F9"/>
    <w:rsid w:val="00C56E1B"/>
    <w:rsid w:val="00C60413"/>
    <w:rsid w:val="00C63113"/>
    <w:rsid w:val="00C72936"/>
    <w:rsid w:val="00C73F5A"/>
    <w:rsid w:val="00C83FB8"/>
    <w:rsid w:val="00C841E2"/>
    <w:rsid w:val="00C84E0C"/>
    <w:rsid w:val="00C95BAC"/>
    <w:rsid w:val="00CA24C0"/>
    <w:rsid w:val="00CA4785"/>
    <w:rsid w:val="00CC75A8"/>
    <w:rsid w:val="00CF79C3"/>
    <w:rsid w:val="00D006DF"/>
    <w:rsid w:val="00D05EF3"/>
    <w:rsid w:val="00D153C8"/>
    <w:rsid w:val="00D15B18"/>
    <w:rsid w:val="00D3028A"/>
    <w:rsid w:val="00D31B62"/>
    <w:rsid w:val="00D33B03"/>
    <w:rsid w:val="00D33E11"/>
    <w:rsid w:val="00D65646"/>
    <w:rsid w:val="00D7696F"/>
    <w:rsid w:val="00D8144A"/>
    <w:rsid w:val="00D9199C"/>
    <w:rsid w:val="00D95BA0"/>
    <w:rsid w:val="00DA65A0"/>
    <w:rsid w:val="00DB6560"/>
    <w:rsid w:val="00DE28EA"/>
    <w:rsid w:val="00DE7FE9"/>
    <w:rsid w:val="00DF2AAF"/>
    <w:rsid w:val="00E10E1D"/>
    <w:rsid w:val="00E56E37"/>
    <w:rsid w:val="00E9750A"/>
    <w:rsid w:val="00EA2336"/>
    <w:rsid w:val="00EB7301"/>
    <w:rsid w:val="00EC1E16"/>
    <w:rsid w:val="00EC359C"/>
    <w:rsid w:val="00EC6C1D"/>
    <w:rsid w:val="00EE77F9"/>
    <w:rsid w:val="00F06A12"/>
    <w:rsid w:val="00F20741"/>
    <w:rsid w:val="00F324E8"/>
    <w:rsid w:val="00F34F38"/>
    <w:rsid w:val="00F41D6A"/>
    <w:rsid w:val="00F44BBD"/>
    <w:rsid w:val="00F554A6"/>
    <w:rsid w:val="00F62BB1"/>
    <w:rsid w:val="00F77726"/>
    <w:rsid w:val="00F80EFA"/>
    <w:rsid w:val="00F90ADD"/>
    <w:rsid w:val="00FB764C"/>
    <w:rsid w:val="00FC61A0"/>
    <w:rsid w:val="00FC6320"/>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E74EB3"/>
  <w15:chartTrackingRefBased/>
  <w15:docId w15:val="{5853E9C3-6AD6-4593-B8DE-F654AB5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Standaard"/>
    <w:link w:val="Calibri11Char"/>
    <w:qFormat/>
    <w:rsid w:val="004977CE"/>
    <w:rPr>
      <w:rFonts w:ascii="Calibri" w:hAnsi="Calibri"/>
    </w:rPr>
  </w:style>
  <w:style w:type="character" w:customStyle="1" w:styleId="Calibri11Char">
    <w:name w:val="Calibri 11 Char"/>
    <w:basedOn w:val="Standaardalinea-lettertype"/>
    <w:link w:val="Calibri11"/>
    <w:rsid w:val="004977CE"/>
    <w:rPr>
      <w:rFonts w:ascii="Calibri" w:hAnsi="Calibri"/>
      <w:sz w:val="22"/>
      <w:szCs w:val="22"/>
    </w:rPr>
  </w:style>
  <w:style w:type="character" w:customStyle="1" w:styleId="frmlbl4">
    <w:name w:val="frmlbl4"/>
    <w:basedOn w:val="Standaardalinea-lettertype"/>
    <w:rsid w:val="00B4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ALL/?uri=CELEX:32017R13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oleObject" Target="http://intranet.ctgb.nl/ufc/file2/ctgb_sites/adminmarlies/7947285905aab8f8c29551877ffce5ee/pu/Ondertekening_besluit_voorzitter.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middelnaam" markerprefix="true">Brodifacoum Family - PT14</field>
  <field name="aanvraagnummer" markerprefix="true">20200446</field>
  <field name="aanvraagtype" markerprefix="true">B-TWEFNS</field>
  <field name="indiener_relatienaam" markerprefix="true">Rentokil Initial Limited</field>
  <field name="toelatingsnummer" markerprefix="true"/>
  <field name="ws_nl" markerprefix="true"/>
  <field name="vergaderingnummer" markerprefix="true"/>
  <field name="doctype" markerprefix="true">COL</field>
  <field name="docnr" markerprefix="true">202007210157</field>
  <field name="name" markerprefix="true">C340.II.2.01a Brodifacoum Family - PT14, 20200446 T-WEFNS</field>
  <field name="description" markerprefix="true">C340.II.2.01a Brodifacoum Family - PT14, 20200446 T-WEFNS</field>
  <field name="workflow" markerprefix="true">Collegestuk</field>
  <field name="lastchangeddmy" markerprefix="true">27 augustus 2020</field>
  <field name="lastpublisheddmy" markerprefix="true">27 augustus 2020</field>
  <field name="lastchangedmdy" markerprefix="true">August 27th 2020</field>
  <field name="lastpublishedmdy" markerprefix="true">August 27th 2020</field>
  <field name="allocto" markerprefix="true">Lubbe, L (Leo)</field>
  <field name="version" markerprefix="true">1 </field>
  <field name="status" markerprefix="true">concept</field>
  <field name="stage" markerprefix="true">13</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1218</Words>
  <Characters>6702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Hilberink, M. (Melinde)</cp:lastModifiedBy>
  <cp:revision>15</cp:revision>
  <cp:lastPrinted>2020-08-27T10:22:00Z</cp:lastPrinted>
  <dcterms:created xsi:type="dcterms:W3CDTF">2019-10-02T06:38:00Z</dcterms:created>
  <dcterms:modified xsi:type="dcterms:W3CDTF">2020-08-27T10:22:00Z</dcterms:modified>
</cp:coreProperties>
</file>