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3996" w14:textId="77777777" w:rsidR="00F57736" w:rsidRPr="003016DF" w:rsidRDefault="00E86372" w:rsidP="00F57736">
      <w:r>
        <w:rPr>
          <w:rFonts w:eastAsiaTheme="minorHAnsi"/>
          <w:noProof/>
          <w:szCs w:val="24"/>
          <w:lang w:val="en-IE" w:eastAsia="en-IE"/>
        </w:rPr>
        <mc:AlternateContent>
          <mc:Choice Requires="wps">
            <w:drawing>
              <wp:anchor distT="91440" distB="91440" distL="114300" distR="114300" simplePos="0" relativeHeight="251659264" behindDoc="0" locked="0" layoutInCell="0" allowOverlap="1" wp14:anchorId="68353A5A" wp14:editId="68353A5B">
                <wp:simplePos x="0" y="0"/>
                <wp:positionH relativeFrom="margin">
                  <wp:posOffset>3047365</wp:posOffset>
                </wp:positionH>
                <wp:positionV relativeFrom="margin">
                  <wp:posOffset>419100</wp:posOffset>
                </wp:positionV>
                <wp:extent cx="2409825" cy="1341120"/>
                <wp:effectExtent l="0" t="0" r="28575" b="1143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9825" cy="1341120"/>
                        </a:xfrm>
                        <a:prstGeom prst="rect">
                          <a:avLst/>
                        </a:prstGeom>
                        <a:noFill/>
                        <a:ln w="9525">
                          <a:solidFill>
                            <a:schemeClr val="tx1">
                              <a:lumMod val="50000"/>
                              <a:lumOff val="50000"/>
                            </a:schemeClr>
                          </a:solidFill>
                          <a:miter lim="800000"/>
                          <a:headEnd/>
                          <a:tailEnd/>
                        </a:ln>
                        <a:effectLst/>
                      </wps:spPr>
                      <wps:txbx>
                        <w:txbxContent>
                          <w:p w14:paraId="68353A6D" w14:textId="4243CA71" w:rsidR="00E86372" w:rsidRDefault="00606BB0" w:rsidP="00606BB0">
                            <w:pPr>
                              <w:jc w:val="center"/>
                              <w:rPr>
                                <w:color w:val="4F81BD" w:themeColor="accent1"/>
                              </w:rPr>
                            </w:pPr>
                            <w:r>
                              <w:rPr>
                                <w:noProof/>
                                <w:lang w:val="en-IE" w:eastAsia="en-IE"/>
                              </w:rPr>
                              <w:drawing>
                                <wp:inline distT="0" distB="0" distL="0" distR="0" wp14:anchorId="3DBA2D4A" wp14:editId="3DF0EAF8">
                                  <wp:extent cx="1416215" cy="9372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8407" cy="958565"/>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8353A5A" id="Rectangle 698" o:spid="_x0000_s1026" style="position:absolute;margin-left:239.95pt;margin-top:33pt;width:189.75pt;height:105.6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8PQIAAG8EAAAOAAAAZHJzL2Uyb0RvYy54bWysVNuO0zAQfUfiHyy/01y2Xdqo6WrVZQFp&#10;gRULH+A6TmNhe4ztNilfz9gp7XZ5Q+TB8oxnjmfOHGd5M2hF9sJ5CaamxSSnRBgOjTTbmn7/dv9m&#10;TokPzDRMgRE1PQhPb1avXy17W4kSOlCNcARBjK96W9MuBFtlmeed0MxPwAqDhy04zQKabps1jvWI&#10;rlVW5vl11oNrrAMuvEfv3XhIVwm/bQUPX9rWi0BUTbG2kFaX1k1cs9WSVVvHbCf5sQz2D1VoJg1e&#10;eoK6Y4GRnZN/QWnJHXhow4SDzqBtJRepB+ymyF9089QxK1IvSI63J5r8/4Pln/ePjsimptcLHJVh&#10;Gof0FWljZqsEiU6kqLe+wsgn++hik94+AP/hiYF1h3Hi1jnoO8EaLKyI8dlFQjQ8ppJN/wkaxGe7&#10;AImtoXWatEraDzExQiMjZEjjOZzGI4ZAODrLab6YlzNKOJ4VV9OiKNMAM1ZFoJhunQ/vBWgSNzV1&#10;2EiCZfsHH2Jh55AYbuBeKpU0oAzpa7qYIX5qEZRs4mEyohrFWjmyZ6ijMIy1qp3GfkbfLMdvVBO6&#10;UXMv3Hhx0nRESWX45xdoGfAVKKlrOo9AR6RI6TvTpPoCk2rcI5QysSyR9H1s7A/J47DCsBkwLTo3&#10;0ByQewej9vGt4qYD94uSHnVfU/9zx5ygRH00OL/y7fQKaSXhwnIX1ubCYoYjXE15cJSMxjqkJzZS&#10;fIvTbmVi/1zPUSOo6sTG8QXGZ/PcTlHn/8TqNwAAAP//AwBQSwMEFAAGAAgAAAAhABqNDNbeAAAA&#10;CgEAAA8AAABkcnMvZG93bnJldi54bWxMj8FOwzAQRO9I/IO1SNyoQ9QmTYhTVYgicWxAnN3YxBHx&#10;2oqd1v17lhMcV/v0ZqbZJTuxs57D6FDA4yoDprF3asRBwMf74WELLESJSk4OtYCrDrBrb28aWSt3&#10;waM+d3FgJMFQSwEmRl9zHnqjrQwr5zXS78vNVkY654GrWV5IbieeZ1nBrRyREoz0+tno/rtbLFn2&#10;x8PwiS9df31Li0kb78dXL8T9Xdo/AYs6xT8YfutTdWip08ktqAKbBKzLqiJUQFHQJgK2m2oN7CQg&#10;L8sceNvw/xPaHwAAAP//AwBQSwECLQAUAAYACAAAACEAtoM4kv4AAADhAQAAEwAAAAAAAAAAAAAA&#10;AAAAAAAAW0NvbnRlbnRfVHlwZXNdLnhtbFBLAQItABQABgAIAAAAIQA4/SH/1gAAAJQBAAALAAAA&#10;AAAAAAAAAAAAAC8BAABfcmVscy8ucmVsc1BLAQItABQABgAIAAAAIQAfsRQ8PQIAAG8EAAAOAAAA&#10;AAAAAAAAAAAAAC4CAABkcnMvZTJvRG9jLnhtbFBLAQItABQABgAIAAAAIQAajQzW3gAAAAoBAAAP&#10;AAAAAAAAAAAAAAAAAJcEAABkcnMvZG93bnJldi54bWxQSwUGAAAAAAQABADzAAAAogUAAAAA&#10;" o:allowincell="f" filled="f" strokecolor="gray [1629]">
                <v:textbox inset="21.6pt,21.6pt,21.6pt,21.6pt">
                  <w:txbxContent>
                    <w:p w14:paraId="68353A6D" w14:textId="4243CA71" w:rsidR="00E86372" w:rsidRDefault="00606BB0" w:rsidP="00606BB0">
                      <w:pPr>
                        <w:jc w:val="center"/>
                        <w:rPr>
                          <w:color w:val="4F81BD" w:themeColor="accent1"/>
                        </w:rPr>
                      </w:pPr>
                      <w:r>
                        <w:rPr>
                          <w:noProof/>
                          <w:lang w:val="en-IE" w:eastAsia="en-IE"/>
                        </w:rPr>
                        <w:drawing>
                          <wp:inline distT="0" distB="0" distL="0" distR="0" wp14:anchorId="3DBA2D4A" wp14:editId="3DF0EAF8">
                            <wp:extent cx="1416215" cy="9372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8407" cy="958565"/>
                                    </a:xfrm>
                                    <a:prstGeom prst="rect">
                                      <a:avLst/>
                                    </a:prstGeom>
                                    <a:noFill/>
                                    <a:ln>
                                      <a:noFill/>
                                    </a:ln>
                                  </pic:spPr>
                                </pic:pic>
                              </a:graphicData>
                            </a:graphic>
                          </wp:inline>
                        </w:drawing>
                      </w:r>
                    </w:p>
                  </w:txbxContent>
                </v:textbox>
                <w10:wrap type="square" anchorx="margin" anchory="margin"/>
              </v:rect>
            </w:pict>
          </mc:Fallback>
        </mc:AlternateContent>
      </w:r>
    </w:p>
    <w:p w14:paraId="68353997" w14:textId="77777777" w:rsidR="00F57736" w:rsidRPr="003016DF" w:rsidRDefault="00F57736" w:rsidP="00F57736"/>
    <w:p w14:paraId="68353998" w14:textId="77777777" w:rsidR="00F57736" w:rsidRPr="003016DF" w:rsidRDefault="00F57736" w:rsidP="00F57736"/>
    <w:p w14:paraId="68353999" w14:textId="72690723" w:rsidR="00F57736" w:rsidRPr="003016DF" w:rsidRDefault="00F57736" w:rsidP="00F57736"/>
    <w:p w14:paraId="6835399A" w14:textId="32749CD9" w:rsidR="00F57736" w:rsidRPr="003016DF" w:rsidRDefault="00F57736" w:rsidP="00F57736"/>
    <w:p w14:paraId="6835399B" w14:textId="77777777" w:rsidR="00F57736" w:rsidRPr="003016DF" w:rsidRDefault="00F57736" w:rsidP="00F57736"/>
    <w:p w14:paraId="6835399C" w14:textId="77777777" w:rsidR="00F57736" w:rsidRPr="003016DF" w:rsidRDefault="00F57736" w:rsidP="00F57736">
      <w:pPr>
        <w:jc w:val="center"/>
        <w:rPr>
          <w:b/>
          <w:sz w:val="28"/>
          <w:szCs w:val="28"/>
        </w:rPr>
      </w:pP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odyText"/>
        <w:rPr>
          <w:b/>
        </w:rPr>
      </w:pPr>
    </w:p>
    <w:p w14:paraId="76DBBCB5" w14:textId="2E649641" w:rsidR="00A70668" w:rsidRPr="00193166" w:rsidRDefault="00E86372" w:rsidP="00606BB0">
      <w:pPr>
        <w:pStyle w:val="BodyText"/>
        <w:tabs>
          <w:tab w:val="left" w:pos="1985"/>
        </w:tabs>
        <w:ind w:left="2268" w:hanging="2268"/>
        <w:rPr>
          <w:b/>
        </w:rPr>
      </w:pPr>
      <w:r>
        <w:rPr>
          <w:b/>
        </w:rPr>
        <w:t>Substance Name</w:t>
      </w:r>
      <w:r w:rsidRPr="00193166">
        <w:rPr>
          <w:b/>
        </w:rPr>
        <w:t>:</w:t>
      </w:r>
      <w:r w:rsidR="00A70668" w:rsidRPr="00193166">
        <w:rPr>
          <w:b/>
        </w:rPr>
        <w:tab/>
      </w:r>
      <w:proofErr w:type="spellStart"/>
      <w:r w:rsidR="00606BB0" w:rsidRPr="00193166">
        <w:rPr>
          <w:b/>
        </w:rPr>
        <w:t>Nitrilotriacetic</w:t>
      </w:r>
      <w:proofErr w:type="spellEnd"/>
      <w:r w:rsidR="00606BB0" w:rsidRPr="00193166">
        <w:rPr>
          <w:b/>
        </w:rPr>
        <w:t xml:space="preserve"> acid</w:t>
      </w:r>
    </w:p>
    <w:p w14:paraId="683539A4" w14:textId="77777777" w:rsidR="00E86372" w:rsidRPr="00193166" w:rsidRDefault="00E86372" w:rsidP="00A70668">
      <w:pPr>
        <w:pStyle w:val="BodyText"/>
        <w:tabs>
          <w:tab w:val="left" w:pos="1985"/>
        </w:tabs>
        <w:ind w:left="2268" w:hanging="2268"/>
        <w:rPr>
          <w:b/>
        </w:rPr>
      </w:pPr>
    </w:p>
    <w:p w14:paraId="683539A5" w14:textId="1DCCA864" w:rsidR="00E86372" w:rsidRPr="00193166" w:rsidRDefault="00E86372" w:rsidP="00A70668">
      <w:pPr>
        <w:pStyle w:val="BodyText"/>
        <w:tabs>
          <w:tab w:val="left" w:pos="1985"/>
        </w:tabs>
        <w:ind w:left="2268" w:hanging="2268"/>
        <w:rPr>
          <w:b/>
        </w:rPr>
      </w:pPr>
      <w:r w:rsidRPr="00193166">
        <w:rPr>
          <w:b/>
        </w:rPr>
        <w:t>EC Number:</w:t>
      </w:r>
      <w:r w:rsidR="00A70668" w:rsidRPr="00193166">
        <w:rPr>
          <w:b/>
        </w:rPr>
        <w:t xml:space="preserve"> </w:t>
      </w:r>
      <w:r w:rsidR="00755791" w:rsidRPr="00193166">
        <w:rPr>
          <w:b/>
        </w:rPr>
        <w:t xml:space="preserve"> </w:t>
      </w:r>
      <w:r w:rsidR="00606BB0" w:rsidRPr="00193166">
        <w:rPr>
          <w:b/>
        </w:rPr>
        <w:t>205-355-7</w:t>
      </w:r>
    </w:p>
    <w:p w14:paraId="683539A6" w14:textId="0AE45859" w:rsidR="00E86372" w:rsidRPr="00193166" w:rsidRDefault="00E86372" w:rsidP="00A70668">
      <w:pPr>
        <w:pStyle w:val="BodyText"/>
        <w:tabs>
          <w:tab w:val="left" w:pos="1985"/>
        </w:tabs>
        <w:ind w:left="2268" w:hanging="2268"/>
        <w:rPr>
          <w:b/>
          <w:sz w:val="32"/>
        </w:rPr>
      </w:pPr>
      <w:r w:rsidRPr="00193166">
        <w:rPr>
          <w:b/>
        </w:rPr>
        <w:t>CAS Number:</w:t>
      </w:r>
      <w:r w:rsidR="00A70668" w:rsidRPr="00193166">
        <w:rPr>
          <w:b/>
        </w:rPr>
        <w:t xml:space="preserve"> </w:t>
      </w:r>
      <w:r w:rsidR="00755791" w:rsidRPr="00193166">
        <w:rPr>
          <w:b/>
        </w:rPr>
        <w:t xml:space="preserve"> </w:t>
      </w:r>
      <w:r w:rsidR="00606BB0" w:rsidRPr="00193166">
        <w:rPr>
          <w:b/>
        </w:rPr>
        <w:t>139-13-9</w:t>
      </w:r>
    </w:p>
    <w:p w14:paraId="683539A7" w14:textId="77777777" w:rsidR="00E86372" w:rsidRPr="00193166" w:rsidRDefault="00E86372" w:rsidP="00A70668">
      <w:pPr>
        <w:pStyle w:val="BodyText"/>
        <w:tabs>
          <w:tab w:val="left" w:pos="1985"/>
        </w:tabs>
        <w:ind w:left="2268" w:hanging="2268"/>
        <w:rPr>
          <w:b/>
          <w:sz w:val="32"/>
        </w:rPr>
      </w:pPr>
    </w:p>
    <w:p w14:paraId="683539A8" w14:textId="34D3EC70" w:rsidR="00E86372" w:rsidRPr="00193166" w:rsidRDefault="00E86372" w:rsidP="00A70668">
      <w:pPr>
        <w:pStyle w:val="BodyText"/>
        <w:tabs>
          <w:tab w:val="left" w:pos="1985"/>
        </w:tabs>
        <w:ind w:left="2268" w:hanging="2268"/>
        <w:rPr>
          <w:b/>
          <w:sz w:val="32"/>
        </w:rPr>
      </w:pPr>
      <w:r w:rsidRPr="00193166">
        <w:rPr>
          <w:b/>
        </w:rPr>
        <w:t>Authority:</w:t>
      </w:r>
      <w:r w:rsidR="00A70668" w:rsidRPr="00193166">
        <w:rPr>
          <w:b/>
        </w:rPr>
        <w:t xml:space="preserve"> </w:t>
      </w:r>
      <w:r w:rsidR="00755791" w:rsidRPr="00193166">
        <w:rPr>
          <w:b/>
        </w:rPr>
        <w:t xml:space="preserve"> </w:t>
      </w:r>
      <w:r w:rsidR="00606BB0" w:rsidRPr="00193166">
        <w:rPr>
          <w:b/>
        </w:rPr>
        <w:t>Health and Safety Authority</w:t>
      </w:r>
    </w:p>
    <w:p w14:paraId="683539A9" w14:textId="57FEBDD0" w:rsidR="00E86372" w:rsidRPr="00193166" w:rsidRDefault="00E86372" w:rsidP="00A70668">
      <w:pPr>
        <w:pStyle w:val="BodyText"/>
        <w:tabs>
          <w:tab w:val="left" w:pos="1985"/>
        </w:tabs>
        <w:ind w:left="2268" w:hanging="2268"/>
        <w:rPr>
          <w:b/>
        </w:rPr>
      </w:pPr>
      <w:r w:rsidRPr="00193166">
        <w:rPr>
          <w:b/>
        </w:rPr>
        <w:t>Date:</w:t>
      </w:r>
      <w:r w:rsidR="00755791" w:rsidRPr="00193166">
        <w:rPr>
          <w:b/>
        </w:rPr>
        <w:t xml:space="preserve">  </w:t>
      </w:r>
      <w:r w:rsidR="00EB449C" w:rsidRPr="00193166">
        <w:rPr>
          <w:b/>
        </w:rPr>
        <w:t>May</w:t>
      </w:r>
      <w:r w:rsidR="00606BB0" w:rsidRPr="00193166">
        <w:rPr>
          <w:b/>
        </w:rPr>
        <w:t>, 2022</w:t>
      </w:r>
    </w:p>
    <w:p w14:paraId="683539AA" w14:textId="77777777" w:rsidR="00A41F93" w:rsidRDefault="00A41F93" w:rsidP="00A41F93">
      <w:pPr>
        <w:widowControl/>
        <w:spacing w:after="200" w:line="276" w:lineRule="auto"/>
        <w:rPr>
          <w:b/>
          <w:i/>
          <w:color w:val="FF0000"/>
        </w:rPr>
      </w:pP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5"/>
          <w:footerReference w:type="default" r:id="rId16"/>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0"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odyText"/>
        <w:jc w:val="center"/>
      </w:pPr>
    </w:p>
    <w:p w14:paraId="683539B6" w14:textId="77777777" w:rsidR="00AD40AE" w:rsidRDefault="00AD40AE" w:rsidP="00AD40AE">
      <w:pPr>
        <w:pStyle w:val="BodyText"/>
        <w:jc w:val="center"/>
      </w:pPr>
    </w:p>
    <w:p w14:paraId="683539B7" w14:textId="183D0041" w:rsidR="007A39FF" w:rsidRDefault="007A39FF" w:rsidP="007A39FF">
      <w:pPr>
        <w:pStyle w:val="BodyText"/>
      </w:pPr>
    </w:p>
    <w:p w14:paraId="683539BC" w14:textId="451BBF13" w:rsidR="007A39FF" w:rsidRDefault="001C1F13" w:rsidP="007A39FF">
      <w:pPr>
        <w:pStyle w:val="BodyText"/>
        <w:jc w:val="both"/>
      </w:pPr>
      <w:r w:rsidRPr="001C1F13">
        <w:t>The author does not accept any liability with regard to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on the basis of available information and may change in light of newly available information or further assessment.</w:t>
      </w:r>
    </w:p>
    <w:p w14:paraId="683539BD" w14:textId="77777777" w:rsidR="007A39FF" w:rsidRPr="00270FFE" w:rsidRDefault="007A39FF" w:rsidP="007A39FF">
      <w:pPr>
        <w:pStyle w:val="BodyText"/>
        <w:jc w:val="both"/>
        <w:sectPr w:rsidR="007A39FF" w:rsidRPr="00270FFE">
          <w:footerReference w:type="default" r:id="rId17"/>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Heading1"/>
        <w:rPr>
          <w:color w:val="4F81BD"/>
        </w:rPr>
      </w:pPr>
      <w:r w:rsidRPr="002E4026">
        <w:rPr>
          <w:color w:val="4F81BD"/>
        </w:rPr>
        <w:lastRenderedPageBreak/>
        <w:t>Foreword</w:t>
      </w:r>
      <w:bookmarkEnd w:id="0"/>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in order to conclude whether a substance is a 'relevant substance of very high concern (SVHC)' in the sense of the SVHC Roadmap to 2020</w:t>
      </w:r>
      <w:r>
        <w:rPr>
          <w:rStyle w:val="FootnoteReference"/>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(e.g. harmonised classification and labelling, Candidate List inclusion, restriction, other EU legislation) or that no regulatory action is required at EU level. Any subsequent regulatory processes under the REACH Regulation include consultation of interested parties and appropriate decision making involving Member State Competent Authorities and the European Commission as defined in REACH.</w:t>
      </w:r>
    </w:p>
    <w:p w14:paraId="5B7D4936" w14:textId="77777777" w:rsidR="001C1F13" w:rsidRDefault="001C1F13" w:rsidP="001C1F13">
      <w:pPr>
        <w:spacing w:after="120"/>
        <w:jc w:val="both"/>
      </w:pPr>
    </w:p>
    <w:p w14:paraId="706E7DB9" w14:textId="6925A024"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Pr="003016DF">
        <w:t xml:space="preserve">.  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can be used </w:t>
      </w:r>
      <w:r>
        <w:t>to conclude whether regulatory risk management activities are required for a substance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are informed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shall not be considered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683539C8" w14:textId="77777777" w:rsidR="00BE5AF4" w:rsidRPr="000711F7" w:rsidRDefault="009C2172" w:rsidP="00BE5AF4">
      <w:pPr>
        <w:pStyle w:val="Heading3"/>
        <w:numPr>
          <w:ilvl w:val="0"/>
          <w:numId w:val="6"/>
        </w:numPr>
        <w:rPr>
          <w:color w:val="4F81BD" w:themeColor="accent1"/>
          <w:sz w:val="24"/>
          <w:szCs w:val="28"/>
        </w:rPr>
      </w:pPr>
      <w:r w:rsidRPr="000711F7">
        <w:rPr>
          <w:color w:val="4F81BD" w:themeColor="accent1"/>
          <w:sz w:val="24"/>
          <w:szCs w:val="28"/>
        </w:rPr>
        <w:lastRenderedPageBreak/>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tbl>
      <w:tblPr>
        <w:tblStyle w:val="TableGrid1"/>
        <w:tblW w:w="8624" w:type="dxa"/>
        <w:tblLayout w:type="fixed"/>
        <w:tblLook w:val="04A0" w:firstRow="1" w:lastRow="0" w:firstColumn="1" w:lastColumn="0" w:noHBand="0" w:noVBand="1"/>
      </w:tblPr>
      <w:tblGrid>
        <w:gridCol w:w="1433"/>
        <w:gridCol w:w="1174"/>
        <w:gridCol w:w="6017"/>
      </w:tblGrid>
      <w:tr w:rsidR="00E85BBF" w:rsidRPr="00E85BBF" w14:paraId="63B415B9" w14:textId="77777777" w:rsidTr="007C4DD4">
        <w:trPr>
          <w:cantSplit/>
          <w:trHeight w:val="797"/>
        </w:trPr>
        <w:tc>
          <w:tcPr>
            <w:tcW w:w="1433" w:type="dxa"/>
            <w:textDirection w:val="btLr"/>
            <w:vAlign w:val="center"/>
          </w:tcPr>
          <w:p w14:paraId="0EF8D7AB" w14:textId="77777777" w:rsidR="00E85BBF" w:rsidRPr="00E85BBF" w:rsidRDefault="00E85BBF" w:rsidP="00E85BBF">
            <w:pPr>
              <w:widowControl/>
              <w:spacing w:before="120"/>
              <w:ind w:left="113" w:right="113"/>
              <w:jc w:val="center"/>
              <w:rPr>
                <w:sz w:val="18"/>
                <w:szCs w:val="18"/>
                <w:lang w:eastAsia="en-US"/>
              </w:rPr>
            </w:pPr>
            <w:r w:rsidRPr="00E85BBF">
              <w:rPr>
                <w:sz w:val="18"/>
                <w:szCs w:val="18"/>
                <w:lang w:eastAsia="en-US"/>
              </w:rPr>
              <w:t>RMOA</w:t>
            </w:r>
          </w:p>
        </w:tc>
        <w:tc>
          <w:tcPr>
            <w:tcW w:w="1174" w:type="dxa"/>
            <w:tcBorders>
              <w:right w:val="nil"/>
            </w:tcBorders>
            <w:shd w:val="clear" w:color="auto" w:fill="auto"/>
            <w:textDirection w:val="btLr"/>
            <w:vAlign w:val="center"/>
          </w:tcPr>
          <w:p w14:paraId="7B76770F" w14:textId="77777777" w:rsidR="00E85BBF" w:rsidRPr="00E85BBF" w:rsidRDefault="00E85BBF" w:rsidP="00E85BBF">
            <w:pPr>
              <w:widowControl/>
              <w:spacing w:before="120"/>
              <w:ind w:left="113" w:right="113"/>
              <w:jc w:val="center"/>
              <w:rPr>
                <w:sz w:val="18"/>
                <w:szCs w:val="18"/>
                <w:lang w:eastAsia="en-US"/>
              </w:rPr>
            </w:pPr>
          </w:p>
        </w:tc>
        <w:tc>
          <w:tcPr>
            <w:tcW w:w="6017" w:type="dxa"/>
            <w:tcBorders>
              <w:left w:val="nil"/>
            </w:tcBorders>
            <w:shd w:val="clear" w:color="auto" w:fill="auto"/>
            <w:vAlign w:val="center"/>
          </w:tcPr>
          <w:p w14:paraId="0AC286A5" w14:textId="4A6219A3" w:rsidR="00E85BBF" w:rsidRPr="00E85BBF" w:rsidRDefault="00012620" w:rsidP="00E85BBF">
            <w:pPr>
              <w:widowControl/>
              <w:spacing w:before="120"/>
              <w:ind w:left="317" w:hanging="317"/>
              <w:jc w:val="both"/>
              <w:rPr>
                <w:sz w:val="18"/>
                <w:szCs w:val="18"/>
                <w:lang w:eastAsia="en-US"/>
              </w:rPr>
            </w:pPr>
            <w:sdt>
              <w:sdtPr>
                <w:rPr>
                  <w:sz w:val="18"/>
                  <w:szCs w:val="18"/>
                  <w:lang w:eastAsia="en-US"/>
                </w:rPr>
                <w:id w:val="1902332067"/>
                <w14:checkbox>
                  <w14:checked w14:val="1"/>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Risk Management Option Analysis (RMOA) - Ireland, May 2022</w:t>
            </w:r>
          </w:p>
        </w:tc>
      </w:tr>
      <w:tr w:rsidR="00E85BBF" w:rsidRPr="00E85BBF" w14:paraId="3086CE03" w14:textId="77777777" w:rsidTr="007C4DD4">
        <w:trPr>
          <w:cantSplit/>
          <w:trHeight w:val="411"/>
        </w:trPr>
        <w:tc>
          <w:tcPr>
            <w:tcW w:w="1433" w:type="dxa"/>
            <w:vMerge w:val="restart"/>
            <w:textDirection w:val="btLr"/>
            <w:vAlign w:val="center"/>
          </w:tcPr>
          <w:p w14:paraId="0EB23360" w14:textId="77777777" w:rsidR="00E85BBF" w:rsidRPr="00E85BBF" w:rsidRDefault="00E85BBF" w:rsidP="00E85BBF">
            <w:pPr>
              <w:widowControl/>
              <w:spacing w:before="120"/>
              <w:ind w:left="113" w:right="113"/>
              <w:jc w:val="center"/>
              <w:rPr>
                <w:sz w:val="18"/>
                <w:szCs w:val="18"/>
                <w:lang w:eastAsia="en-US"/>
              </w:rPr>
            </w:pPr>
            <w:r w:rsidRPr="00E85BBF">
              <w:rPr>
                <w:sz w:val="18"/>
                <w:szCs w:val="18"/>
                <w:lang w:eastAsia="en-US"/>
              </w:rPr>
              <w:t>REACH Processes</w:t>
            </w:r>
          </w:p>
        </w:tc>
        <w:tc>
          <w:tcPr>
            <w:tcW w:w="1174" w:type="dxa"/>
            <w:vMerge w:val="restart"/>
            <w:textDirection w:val="btLr"/>
            <w:vAlign w:val="center"/>
          </w:tcPr>
          <w:p w14:paraId="6569A331" w14:textId="77777777" w:rsidR="00E85BBF" w:rsidRPr="00E85BBF" w:rsidRDefault="00E85BBF" w:rsidP="00E85BBF">
            <w:pPr>
              <w:widowControl/>
              <w:spacing w:before="120"/>
              <w:ind w:left="113" w:right="113"/>
              <w:jc w:val="center"/>
              <w:rPr>
                <w:sz w:val="18"/>
                <w:szCs w:val="18"/>
                <w:lang w:eastAsia="en-US"/>
              </w:rPr>
            </w:pPr>
            <w:r w:rsidRPr="00E85BBF">
              <w:rPr>
                <w:sz w:val="18"/>
                <w:szCs w:val="18"/>
                <w:lang w:eastAsia="en-US"/>
              </w:rPr>
              <w:t>Evaluation</w:t>
            </w:r>
          </w:p>
        </w:tc>
        <w:tc>
          <w:tcPr>
            <w:tcW w:w="6017" w:type="dxa"/>
            <w:vAlign w:val="center"/>
          </w:tcPr>
          <w:p w14:paraId="20A68D48" w14:textId="77777777" w:rsidR="00E85BBF" w:rsidRPr="00E85BBF" w:rsidRDefault="00012620" w:rsidP="00E85BBF">
            <w:pPr>
              <w:widowControl/>
              <w:spacing w:before="120"/>
              <w:jc w:val="both"/>
              <w:rPr>
                <w:sz w:val="18"/>
                <w:szCs w:val="18"/>
                <w:lang w:eastAsia="en-US"/>
              </w:rPr>
            </w:pPr>
            <w:sdt>
              <w:sdtPr>
                <w:rPr>
                  <w:sz w:val="18"/>
                  <w:szCs w:val="18"/>
                  <w:lang w:eastAsia="en-US"/>
                </w:rPr>
                <w:id w:val="1618794995"/>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Compliance check</w:t>
            </w:r>
            <w:r w:rsidR="00E85BBF" w:rsidRPr="00E85BBF">
              <w:rPr>
                <w:sz w:val="18"/>
                <w:szCs w:val="18"/>
                <w:vertAlign w:val="superscript"/>
                <w:lang w:eastAsia="en-US"/>
              </w:rPr>
              <w:footnoteReference w:id="2"/>
            </w:r>
            <w:r w:rsidR="00E85BBF" w:rsidRPr="00E85BBF">
              <w:rPr>
                <w:sz w:val="18"/>
                <w:szCs w:val="18"/>
                <w:lang w:eastAsia="en-US"/>
              </w:rPr>
              <w:t>, Final decision</w:t>
            </w:r>
          </w:p>
        </w:tc>
      </w:tr>
      <w:tr w:rsidR="00E85BBF" w:rsidRPr="00E85BBF" w14:paraId="5B111215" w14:textId="77777777" w:rsidTr="007C4DD4">
        <w:trPr>
          <w:cantSplit/>
          <w:trHeight w:val="417"/>
        </w:trPr>
        <w:tc>
          <w:tcPr>
            <w:tcW w:w="1433" w:type="dxa"/>
            <w:vMerge/>
            <w:textDirection w:val="btLr"/>
            <w:vAlign w:val="center"/>
          </w:tcPr>
          <w:p w14:paraId="3E9A0E2D" w14:textId="77777777" w:rsidR="00E85BBF" w:rsidRPr="00E85BBF" w:rsidRDefault="00E85BBF" w:rsidP="00E85BBF">
            <w:pPr>
              <w:widowControl/>
              <w:spacing w:before="120"/>
              <w:ind w:left="113" w:right="113"/>
              <w:jc w:val="center"/>
              <w:rPr>
                <w:sz w:val="18"/>
                <w:szCs w:val="18"/>
                <w:lang w:eastAsia="en-US"/>
              </w:rPr>
            </w:pPr>
          </w:p>
        </w:tc>
        <w:tc>
          <w:tcPr>
            <w:tcW w:w="1174" w:type="dxa"/>
            <w:vMerge/>
            <w:textDirection w:val="btLr"/>
            <w:vAlign w:val="center"/>
          </w:tcPr>
          <w:p w14:paraId="371E99F5" w14:textId="77777777" w:rsidR="00E85BBF" w:rsidRPr="00E85BBF" w:rsidRDefault="00E85BBF" w:rsidP="00E85BBF">
            <w:pPr>
              <w:widowControl/>
              <w:spacing w:before="120"/>
              <w:ind w:left="113" w:right="113"/>
              <w:jc w:val="center"/>
              <w:rPr>
                <w:sz w:val="18"/>
                <w:szCs w:val="18"/>
                <w:lang w:eastAsia="en-US"/>
              </w:rPr>
            </w:pPr>
          </w:p>
        </w:tc>
        <w:tc>
          <w:tcPr>
            <w:tcW w:w="6017" w:type="dxa"/>
            <w:vAlign w:val="center"/>
          </w:tcPr>
          <w:p w14:paraId="2C051C07" w14:textId="77777777" w:rsidR="00E85BBF" w:rsidRPr="00E85BBF" w:rsidRDefault="00012620" w:rsidP="00E85BBF">
            <w:pPr>
              <w:widowControl/>
              <w:spacing w:before="120"/>
              <w:jc w:val="both"/>
              <w:rPr>
                <w:sz w:val="18"/>
                <w:szCs w:val="18"/>
                <w:lang w:eastAsia="en-US"/>
              </w:rPr>
            </w:pPr>
            <w:sdt>
              <w:sdtPr>
                <w:rPr>
                  <w:sz w:val="18"/>
                  <w:szCs w:val="18"/>
                  <w:lang w:eastAsia="en-US"/>
                </w:rPr>
                <w:id w:val="-555246610"/>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Testing proposal</w:t>
            </w:r>
          </w:p>
        </w:tc>
      </w:tr>
      <w:tr w:rsidR="00E85BBF" w:rsidRPr="00E85BBF" w14:paraId="6A66613A" w14:textId="77777777" w:rsidTr="007C4DD4">
        <w:trPr>
          <w:cantSplit/>
          <w:trHeight w:val="427"/>
        </w:trPr>
        <w:tc>
          <w:tcPr>
            <w:tcW w:w="1433" w:type="dxa"/>
            <w:vMerge/>
            <w:textDirection w:val="btLr"/>
            <w:vAlign w:val="center"/>
          </w:tcPr>
          <w:p w14:paraId="38EF8BCB" w14:textId="77777777" w:rsidR="00E85BBF" w:rsidRPr="00E85BBF" w:rsidRDefault="00E85BBF" w:rsidP="00E85BBF">
            <w:pPr>
              <w:widowControl/>
              <w:spacing w:before="120"/>
              <w:ind w:left="113" w:right="113"/>
              <w:jc w:val="center"/>
              <w:rPr>
                <w:sz w:val="18"/>
                <w:szCs w:val="18"/>
                <w:lang w:eastAsia="en-US"/>
              </w:rPr>
            </w:pPr>
          </w:p>
        </w:tc>
        <w:tc>
          <w:tcPr>
            <w:tcW w:w="1174" w:type="dxa"/>
            <w:vMerge/>
            <w:textDirection w:val="btLr"/>
            <w:vAlign w:val="center"/>
          </w:tcPr>
          <w:p w14:paraId="58D2AE41" w14:textId="77777777" w:rsidR="00E85BBF" w:rsidRPr="00E85BBF" w:rsidRDefault="00E85BBF" w:rsidP="00E85BBF">
            <w:pPr>
              <w:widowControl/>
              <w:spacing w:before="120"/>
              <w:ind w:left="113" w:right="113"/>
              <w:jc w:val="center"/>
              <w:rPr>
                <w:sz w:val="18"/>
                <w:szCs w:val="18"/>
                <w:lang w:eastAsia="en-US"/>
              </w:rPr>
            </w:pPr>
          </w:p>
        </w:tc>
        <w:tc>
          <w:tcPr>
            <w:tcW w:w="6017" w:type="dxa"/>
            <w:vAlign w:val="center"/>
          </w:tcPr>
          <w:p w14:paraId="2573E6B5" w14:textId="77777777" w:rsidR="00E85BBF" w:rsidRPr="00E85BBF" w:rsidRDefault="00012620" w:rsidP="00E85BBF">
            <w:pPr>
              <w:widowControl/>
              <w:spacing w:before="120"/>
              <w:jc w:val="both"/>
              <w:rPr>
                <w:sz w:val="18"/>
                <w:szCs w:val="18"/>
                <w:lang w:eastAsia="en-US"/>
              </w:rPr>
            </w:pPr>
            <w:sdt>
              <w:sdtPr>
                <w:rPr>
                  <w:sz w:val="18"/>
                  <w:szCs w:val="18"/>
                  <w:lang w:eastAsia="en-US"/>
                </w:rPr>
                <w:id w:val="1708519159"/>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w:t>
            </w:r>
            <w:proofErr w:type="spellStart"/>
            <w:r w:rsidR="00E85BBF" w:rsidRPr="00E85BBF">
              <w:rPr>
                <w:sz w:val="18"/>
                <w:szCs w:val="18"/>
                <w:lang w:eastAsia="en-US"/>
              </w:rPr>
              <w:t>CoRAP</w:t>
            </w:r>
            <w:proofErr w:type="spellEnd"/>
            <w:r w:rsidR="00E85BBF" w:rsidRPr="00E85BBF">
              <w:rPr>
                <w:sz w:val="18"/>
                <w:szCs w:val="18"/>
                <w:lang w:eastAsia="en-US"/>
              </w:rPr>
              <w:t xml:space="preserve"> and Substance Evaluation</w:t>
            </w:r>
          </w:p>
        </w:tc>
      </w:tr>
      <w:tr w:rsidR="00E85BBF" w:rsidRPr="00E85BBF" w14:paraId="7BEB4CBC" w14:textId="77777777" w:rsidTr="007C4DD4">
        <w:trPr>
          <w:cantSplit/>
          <w:trHeight w:val="558"/>
        </w:trPr>
        <w:tc>
          <w:tcPr>
            <w:tcW w:w="1433" w:type="dxa"/>
            <w:vMerge/>
            <w:textDirection w:val="btLr"/>
            <w:vAlign w:val="center"/>
          </w:tcPr>
          <w:p w14:paraId="74ACE61A" w14:textId="77777777" w:rsidR="00E85BBF" w:rsidRPr="00E85BBF" w:rsidRDefault="00E85BBF" w:rsidP="00E85BBF">
            <w:pPr>
              <w:widowControl/>
              <w:spacing w:before="120"/>
              <w:ind w:left="113" w:right="113"/>
              <w:jc w:val="center"/>
              <w:rPr>
                <w:sz w:val="18"/>
                <w:szCs w:val="18"/>
                <w:lang w:eastAsia="en-US"/>
              </w:rPr>
            </w:pPr>
          </w:p>
        </w:tc>
        <w:tc>
          <w:tcPr>
            <w:tcW w:w="1174" w:type="dxa"/>
            <w:vMerge w:val="restart"/>
            <w:textDirection w:val="btLr"/>
            <w:vAlign w:val="center"/>
          </w:tcPr>
          <w:p w14:paraId="28047333" w14:textId="77777777" w:rsidR="00E85BBF" w:rsidRPr="00E85BBF" w:rsidRDefault="00E85BBF" w:rsidP="00E85BBF">
            <w:pPr>
              <w:widowControl/>
              <w:spacing w:before="120"/>
              <w:ind w:left="113" w:right="113"/>
              <w:jc w:val="center"/>
              <w:rPr>
                <w:sz w:val="18"/>
                <w:szCs w:val="18"/>
                <w:lang w:eastAsia="en-US"/>
              </w:rPr>
            </w:pPr>
            <w:r w:rsidRPr="00E85BBF">
              <w:rPr>
                <w:sz w:val="18"/>
                <w:szCs w:val="18"/>
                <w:lang w:eastAsia="en-US"/>
              </w:rPr>
              <w:t>Authorisation</w:t>
            </w:r>
          </w:p>
        </w:tc>
        <w:tc>
          <w:tcPr>
            <w:tcW w:w="6017" w:type="dxa"/>
            <w:vAlign w:val="center"/>
          </w:tcPr>
          <w:p w14:paraId="4DC439D4" w14:textId="77777777" w:rsidR="00E85BBF" w:rsidRPr="00E85BBF" w:rsidRDefault="00012620" w:rsidP="00E85BBF">
            <w:pPr>
              <w:widowControl/>
              <w:spacing w:before="120"/>
              <w:jc w:val="both"/>
              <w:rPr>
                <w:sz w:val="18"/>
                <w:szCs w:val="18"/>
                <w:lang w:eastAsia="en-US"/>
              </w:rPr>
            </w:pPr>
            <w:sdt>
              <w:sdtPr>
                <w:rPr>
                  <w:sz w:val="18"/>
                  <w:szCs w:val="18"/>
                  <w:lang w:eastAsia="en-US"/>
                </w:rPr>
                <w:id w:val="-1573199791"/>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Candidate List</w:t>
            </w:r>
          </w:p>
        </w:tc>
      </w:tr>
      <w:tr w:rsidR="00E85BBF" w:rsidRPr="00E85BBF" w14:paraId="63A75F53" w14:textId="77777777" w:rsidTr="007C4DD4">
        <w:trPr>
          <w:cantSplit/>
          <w:trHeight w:val="924"/>
        </w:trPr>
        <w:tc>
          <w:tcPr>
            <w:tcW w:w="1433" w:type="dxa"/>
            <w:vMerge/>
            <w:textDirection w:val="btLr"/>
            <w:vAlign w:val="center"/>
          </w:tcPr>
          <w:p w14:paraId="0CEBB685" w14:textId="77777777" w:rsidR="00E85BBF" w:rsidRPr="00E85BBF" w:rsidRDefault="00E85BBF" w:rsidP="00E85BBF">
            <w:pPr>
              <w:widowControl/>
              <w:spacing w:before="120"/>
              <w:ind w:left="113" w:right="113"/>
              <w:jc w:val="center"/>
              <w:rPr>
                <w:sz w:val="18"/>
                <w:szCs w:val="18"/>
                <w:lang w:eastAsia="en-US"/>
              </w:rPr>
            </w:pPr>
          </w:p>
        </w:tc>
        <w:tc>
          <w:tcPr>
            <w:tcW w:w="1174" w:type="dxa"/>
            <w:vMerge/>
            <w:textDirection w:val="btLr"/>
            <w:vAlign w:val="center"/>
          </w:tcPr>
          <w:p w14:paraId="49C5C749" w14:textId="77777777" w:rsidR="00E85BBF" w:rsidRPr="00E85BBF" w:rsidRDefault="00E85BBF" w:rsidP="00E85BBF">
            <w:pPr>
              <w:widowControl/>
              <w:spacing w:before="120"/>
              <w:ind w:left="113" w:right="113"/>
              <w:jc w:val="center"/>
              <w:rPr>
                <w:sz w:val="18"/>
                <w:szCs w:val="18"/>
                <w:lang w:eastAsia="en-US"/>
              </w:rPr>
            </w:pPr>
          </w:p>
        </w:tc>
        <w:tc>
          <w:tcPr>
            <w:tcW w:w="6017" w:type="dxa"/>
            <w:vAlign w:val="center"/>
          </w:tcPr>
          <w:p w14:paraId="437B137C" w14:textId="77777777" w:rsidR="00E85BBF" w:rsidRPr="00E85BBF" w:rsidRDefault="00012620" w:rsidP="00E85BBF">
            <w:pPr>
              <w:widowControl/>
              <w:spacing w:before="120"/>
              <w:jc w:val="both"/>
              <w:rPr>
                <w:sz w:val="18"/>
                <w:szCs w:val="18"/>
                <w:lang w:eastAsia="en-US"/>
              </w:rPr>
            </w:pPr>
            <w:sdt>
              <w:sdtPr>
                <w:rPr>
                  <w:sz w:val="18"/>
                  <w:szCs w:val="18"/>
                  <w:lang w:eastAsia="en-US"/>
                </w:rPr>
                <w:id w:val="-305165667"/>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Annex XIV </w:t>
            </w:r>
          </w:p>
        </w:tc>
      </w:tr>
      <w:tr w:rsidR="00E85BBF" w:rsidRPr="00E85BBF" w14:paraId="0889C285" w14:textId="77777777" w:rsidTr="007C4DD4">
        <w:trPr>
          <w:cantSplit/>
          <w:trHeight w:val="819"/>
        </w:trPr>
        <w:tc>
          <w:tcPr>
            <w:tcW w:w="1433" w:type="dxa"/>
            <w:vMerge/>
            <w:textDirection w:val="btLr"/>
            <w:vAlign w:val="center"/>
          </w:tcPr>
          <w:p w14:paraId="2700E6D8" w14:textId="77777777" w:rsidR="00E85BBF" w:rsidRPr="00E85BBF" w:rsidRDefault="00E85BBF" w:rsidP="00E85BBF">
            <w:pPr>
              <w:widowControl/>
              <w:spacing w:before="120"/>
              <w:ind w:left="113" w:right="113"/>
              <w:jc w:val="center"/>
              <w:rPr>
                <w:sz w:val="18"/>
                <w:szCs w:val="18"/>
                <w:lang w:eastAsia="en-US"/>
              </w:rPr>
            </w:pPr>
          </w:p>
        </w:tc>
        <w:tc>
          <w:tcPr>
            <w:tcW w:w="1174" w:type="dxa"/>
            <w:tcBorders>
              <w:bottom w:val="single" w:sz="4" w:space="0" w:color="auto"/>
            </w:tcBorders>
            <w:textDirection w:val="btLr"/>
            <w:vAlign w:val="center"/>
          </w:tcPr>
          <w:p w14:paraId="68A4B153" w14:textId="77777777" w:rsidR="00E85BBF" w:rsidRPr="00E85BBF" w:rsidRDefault="00E85BBF" w:rsidP="00E85BBF">
            <w:pPr>
              <w:widowControl/>
              <w:spacing w:before="120"/>
              <w:ind w:left="113" w:right="113"/>
              <w:jc w:val="center"/>
              <w:rPr>
                <w:sz w:val="18"/>
                <w:szCs w:val="18"/>
                <w:lang w:eastAsia="en-US"/>
              </w:rPr>
            </w:pPr>
            <w:proofErr w:type="spellStart"/>
            <w:r w:rsidRPr="00E85BBF">
              <w:rPr>
                <w:sz w:val="18"/>
                <w:szCs w:val="18"/>
                <w:lang w:eastAsia="en-US"/>
              </w:rPr>
              <w:t>Restri-ction</w:t>
            </w:r>
            <w:proofErr w:type="spellEnd"/>
          </w:p>
        </w:tc>
        <w:tc>
          <w:tcPr>
            <w:tcW w:w="6017" w:type="dxa"/>
            <w:tcBorders>
              <w:bottom w:val="single" w:sz="4" w:space="0" w:color="auto"/>
            </w:tcBorders>
            <w:vAlign w:val="center"/>
          </w:tcPr>
          <w:p w14:paraId="1133BA96" w14:textId="77777777" w:rsidR="00E85BBF" w:rsidRPr="00E85BBF" w:rsidRDefault="00012620" w:rsidP="00E85BBF">
            <w:pPr>
              <w:widowControl/>
              <w:spacing w:before="120"/>
              <w:jc w:val="both"/>
              <w:rPr>
                <w:sz w:val="18"/>
                <w:szCs w:val="18"/>
                <w:lang w:eastAsia="en-US"/>
              </w:rPr>
            </w:pPr>
            <w:sdt>
              <w:sdtPr>
                <w:rPr>
                  <w:sz w:val="18"/>
                  <w:szCs w:val="18"/>
                  <w:lang w:eastAsia="en-US"/>
                </w:rPr>
                <w:id w:val="-1799371774"/>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Annex XVII</w:t>
            </w:r>
          </w:p>
        </w:tc>
      </w:tr>
      <w:tr w:rsidR="00E85BBF" w:rsidRPr="00E85BBF" w14:paraId="21636ADD" w14:textId="77777777" w:rsidTr="007C4DD4">
        <w:trPr>
          <w:cantSplit/>
          <w:trHeight w:val="1433"/>
        </w:trPr>
        <w:tc>
          <w:tcPr>
            <w:tcW w:w="1433" w:type="dxa"/>
            <w:textDirection w:val="btLr"/>
            <w:vAlign w:val="center"/>
          </w:tcPr>
          <w:p w14:paraId="27F81A5F" w14:textId="77777777" w:rsidR="00E85BBF" w:rsidRPr="00E85BBF" w:rsidRDefault="00E85BBF" w:rsidP="00E85BBF">
            <w:pPr>
              <w:widowControl/>
              <w:spacing w:before="120"/>
              <w:ind w:left="113" w:right="113"/>
              <w:jc w:val="center"/>
              <w:rPr>
                <w:sz w:val="18"/>
                <w:szCs w:val="18"/>
                <w:lang w:eastAsia="en-US"/>
              </w:rPr>
            </w:pPr>
            <w:r w:rsidRPr="00E85BBF">
              <w:rPr>
                <w:sz w:val="18"/>
                <w:szCs w:val="18"/>
                <w:lang w:eastAsia="en-US"/>
              </w:rPr>
              <w:t xml:space="preserve">Harmonised C&amp;L </w:t>
            </w:r>
          </w:p>
        </w:tc>
        <w:tc>
          <w:tcPr>
            <w:tcW w:w="1174" w:type="dxa"/>
            <w:tcBorders>
              <w:right w:val="nil"/>
            </w:tcBorders>
            <w:textDirection w:val="btLr"/>
            <w:vAlign w:val="center"/>
          </w:tcPr>
          <w:p w14:paraId="74186EDF" w14:textId="77777777" w:rsidR="00E85BBF" w:rsidRPr="00E85BBF" w:rsidRDefault="00E85BBF" w:rsidP="00E85BBF">
            <w:pPr>
              <w:widowControl/>
              <w:spacing w:before="120"/>
              <w:ind w:left="113" w:right="113"/>
              <w:jc w:val="center"/>
              <w:rPr>
                <w:sz w:val="18"/>
                <w:szCs w:val="18"/>
                <w:lang w:eastAsia="en-US"/>
              </w:rPr>
            </w:pPr>
          </w:p>
        </w:tc>
        <w:tc>
          <w:tcPr>
            <w:tcW w:w="6017" w:type="dxa"/>
            <w:tcBorders>
              <w:left w:val="nil"/>
            </w:tcBorders>
            <w:vAlign w:val="center"/>
          </w:tcPr>
          <w:p w14:paraId="68626256" w14:textId="77777777" w:rsidR="00E85BBF" w:rsidRPr="00E85BBF" w:rsidRDefault="00012620" w:rsidP="00E85BBF">
            <w:pPr>
              <w:widowControl/>
              <w:spacing w:before="120"/>
              <w:jc w:val="both"/>
              <w:rPr>
                <w:sz w:val="18"/>
                <w:szCs w:val="18"/>
                <w:lang w:eastAsia="en-US"/>
              </w:rPr>
            </w:pPr>
            <w:sdt>
              <w:sdtPr>
                <w:rPr>
                  <w:sz w:val="18"/>
                  <w:szCs w:val="18"/>
                  <w:lang w:eastAsia="en-US"/>
                </w:rPr>
                <w:id w:val="-1422323023"/>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Annex VI (CLP) (see section 3.1)</w:t>
            </w:r>
          </w:p>
        </w:tc>
      </w:tr>
      <w:tr w:rsidR="00E85BBF" w:rsidRPr="00E85BBF" w14:paraId="574B4882" w14:textId="77777777" w:rsidTr="007C4DD4">
        <w:trPr>
          <w:cantSplit/>
          <w:trHeight w:val="708"/>
        </w:trPr>
        <w:tc>
          <w:tcPr>
            <w:tcW w:w="1433" w:type="dxa"/>
            <w:vMerge w:val="restart"/>
            <w:textDirection w:val="btLr"/>
            <w:vAlign w:val="center"/>
          </w:tcPr>
          <w:p w14:paraId="7E077028" w14:textId="77777777" w:rsidR="00E85BBF" w:rsidRPr="00E85BBF" w:rsidRDefault="00E85BBF" w:rsidP="00E85BBF">
            <w:pPr>
              <w:widowControl/>
              <w:spacing w:before="120"/>
              <w:ind w:left="113" w:right="113"/>
              <w:jc w:val="center"/>
              <w:rPr>
                <w:sz w:val="18"/>
                <w:szCs w:val="18"/>
                <w:lang w:eastAsia="en-US"/>
              </w:rPr>
            </w:pPr>
            <w:r w:rsidRPr="00E85BBF">
              <w:rPr>
                <w:sz w:val="18"/>
                <w:szCs w:val="18"/>
                <w:lang w:eastAsia="en-US"/>
              </w:rPr>
              <w:t>Processes under other EU legislation</w:t>
            </w:r>
          </w:p>
        </w:tc>
        <w:tc>
          <w:tcPr>
            <w:tcW w:w="1174" w:type="dxa"/>
            <w:tcBorders>
              <w:right w:val="nil"/>
            </w:tcBorders>
            <w:textDirection w:val="btLr"/>
            <w:vAlign w:val="center"/>
          </w:tcPr>
          <w:p w14:paraId="7E66A07E" w14:textId="77777777" w:rsidR="00E85BBF" w:rsidRPr="00E85BBF" w:rsidRDefault="00E85BBF" w:rsidP="00E85BBF">
            <w:pPr>
              <w:widowControl/>
              <w:spacing w:before="120"/>
              <w:ind w:left="113" w:right="113"/>
              <w:jc w:val="center"/>
              <w:rPr>
                <w:sz w:val="18"/>
                <w:szCs w:val="18"/>
                <w:lang w:eastAsia="en-US"/>
              </w:rPr>
            </w:pPr>
          </w:p>
        </w:tc>
        <w:tc>
          <w:tcPr>
            <w:tcW w:w="6017" w:type="dxa"/>
            <w:tcBorders>
              <w:left w:val="nil"/>
            </w:tcBorders>
            <w:vAlign w:val="center"/>
          </w:tcPr>
          <w:p w14:paraId="42280C9E" w14:textId="77777777" w:rsidR="00E85BBF" w:rsidRPr="00E85BBF" w:rsidRDefault="00012620" w:rsidP="00E85BBF">
            <w:pPr>
              <w:widowControl/>
              <w:spacing w:before="120"/>
              <w:ind w:left="459" w:hanging="459"/>
              <w:rPr>
                <w:sz w:val="18"/>
                <w:szCs w:val="18"/>
                <w:lang w:eastAsia="en-US"/>
              </w:rPr>
            </w:pPr>
            <w:sdt>
              <w:sdtPr>
                <w:rPr>
                  <w:sz w:val="18"/>
                  <w:szCs w:val="18"/>
                  <w:lang w:eastAsia="en-US"/>
                </w:rPr>
                <w:id w:val="2114626067"/>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Plant Protection Products Regulation </w:t>
            </w:r>
          </w:p>
          <w:p w14:paraId="1578D335" w14:textId="77777777" w:rsidR="00E85BBF" w:rsidRPr="00E85BBF" w:rsidRDefault="00E85BBF" w:rsidP="00E85BBF">
            <w:pPr>
              <w:widowControl/>
              <w:spacing w:before="120"/>
              <w:ind w:left="317"/>
              <w:rPr>
                <w:sz w:val="18"/>
                <w:szCs w:val="18"/>
                <w:lang w:eastAsia="en-US"/>
              </w:rPr>
            </w:pPr>
            <w:r w:rsidRPr="00E85BBF">
              <w:rPr>
                <w:sz w:val="18"/>
                <w:szCs w:val="18"/>
                <w:lang w:eastAsia="en-US"/>
              </w:rPr>
              <w:t xml:space="preserve">Regulation (EC) No 1107/2009 </w:t>
            </w:r>
          </w:p>
        </w:tc>
      </w:tr>
      <w:tr w:rsidR="00E85BBF" w:rsidRPr="00E85BBF" w14:paraId="2127FC15" w14:textId="77777777" w:rsidTr="007C4DD4">
        <w:trPr>
          <w:cantSplit/>
          <w:trHeight w:val="661"/>
        </w:trPr>
        <w:tc>
          <w:tcPr>
            <w:tcW w:w="1433" w:type="dxa"/>
            <w:vMerge/>
            <w:textDirection w:val="btLr"/>
            <w:vAlign w:val="center"/>
          </w:tcPr>
          <w:p w14:paraId="7E297C2A" w14:textId="77777777" w:rsidR="00E85BBF" w:rsidRPr="00E85BBF" w:rsidRDefault="00E85BBF" w:rsidP="00E85BBF">
            <w:pPr>
              <w:widowControl/>
              <w:spacing w:before="120"/>
              <w:ind w:left="113" w:right="113"/>
              <w:jc w:val="center"/>
              <w:rPr>
                <w:sz w:val="18"/>
                <w:szCs w:val="18"/>
                <w:lang w:eastAsia="en-US"/>
              </w:rPr>
            </w:pPr>
          </w:p>
        </w:tc>
        <w:tc>
          <w:tcPr>
            <w:tcW w:w="1174" w:type="dxa"/>
            <w:tcBorders>
              <w:right w:val="nil"/>
            </w:tcBorders>
            <w:textDirection w:val="btLr"/>
            <w:vAlign w:val="center"/>
          </w:tcPr>
          <w:p w14:paraId="188D4867" w14:textId="77777777" w:rsidR="00E85BBF" w:rsidRPr="00E85BBF" w:rsidRDefault="00E85BBF" w:rsidP="00E85BBF">
            <w:pPr>
              <w:widowControl/>
              <w:spacing w:before="120"/>
              <w:ind w:left="113" w:right="113"/>
              <w:jc w:val="center"/>
              <w:rPr>
                <w:sz w:val="18"/>
                <w:szCs w:val="18"/>
                <w:lang w:eastAsia="en-US"/>
              </w:rPr>
            </w:pPr>
          </w:p>
        </w:tc>
        <w:tc>
          <w:tcPr>
            <w:tcW w:w="6017" w:type="dxa"/>
            <w:tcBorders>
              <w:left w:val="nil"/>
            </w:tcBorders>
            <w:vAlign w:val="center"/>
          </w:tcPr>
          <w:p w14:paraId="7F1F55AE" w14:textId="77777777" w:rsidR="00E85BBF" w:rsidRPr="00E85BBF" w:rsidRDefault="00012620" w:rsidP="00E85BBF">
            <w:pPr>
              <w:widowControl/>
              <w:spacing w:before="120"/>
              <w:ind w:left="317" w:hanging="317"/>
              <w:rPr>
                <w:sz w:val="18"/>
                <w:szCs w:val="18"/>
                <w:lang w:eastAsia="en-US"/>
              </w:rPr>
            </w:pPr>
            <w:sdt>
              <w:sdtPr>
                <w:rPr>
                  <w:sz w:val="18"/>
                  <w:szCs w:val="18"/>
                  <w:lang w:eastAsia="en-US"/>
                </w:rPr>
                <w:id w:val="1651639555"/>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Biocidal Product Regulation</w:t>
            </w:r>
          </w:p>
          <w:p w14:paraId="7026F23D" w14:textId="77777777" w:rsidR="00E85BBF" w:rsidRPr="00E85BBF" w:rsidRDefault="00E85BBF" w:rsidP="00E85BBF">
            <w:pPr>
              <w:widowControl/>
              <w:spacing w:before="120"/>
              <w:ind w:left="317"/>
              <w:rPr>
                <w:sz w:val="18"/>
                <w:szCs w:val="18"/>
                <w:lang w:eastAsia="en-US"/>
              </w:rPr>
            </w:pPr>
            <w:r w:rsidRPr="00E85BBF">
              <w:rPr>
                <w:sz w:val="18"/>
                <w:szCs w:val="18"/>
                <w:lang w:eastAsia="en-US"/>
              </w:rPr>
              <w:t xml:space="preserve">Regulation (EU) 528/2012 and amendments  </w:t>
            </w:r>
          </w:p>
        </w:tc>
      </w:tr>
      <w:tr w:rsidR="00E85BBF" w:rsidRPr="00E85BBF" w14:paraId="5F5C9F4C" w14:textId="77777777" w:rsidTr="007C4DD4">
        <w:trPr>
          <w:cantSplit/>
          <w:trHeight w:val="616"/>
        </w:trPr>
        <w:tc>
          <w:tcPr>
            <w:tcW w:w="1433" w:type="dxa"/>
            <w:vMerge w:val="restart"/>
            <w:textDirection w:val="btLr"/>
            <w:vAlign w:val="center"/>
          </w:tcPr>
          <w:p w14:paraId="15FE7717" w14:textId="77777777" w:rsidR="00E85BBF" w:rsidRPr="00E85BBF" w:rsidRDefault="00E85BBF" w:rsidP="00E85BBF">
            <w:pPr>
              <w:widowControl/>
              <w:spacing w:before="120"/>
              <w:ind w:left="113" w:right="113"/>
              <w:jc w:val="center"/>
              <w:rPr>
                <w:sz w:val="18"/>
                <w:szCs w:val="18"/>
                <w:lang w:eastAsia="en-US"/>
              </w:rPr>
            </w:pPr>
            <w:r w:rsidRPr="00E85BBF">
              <w:rPr>
                <w:sz w:val="18"/>
                <w:szCs w:val="18"/>
                <w:lang w:eastAsia="en-US"/>
              </w:rPr>
              <w:t>Previous legislation</w:t>
            </w:r>
          </w:p>
        </w:tc>
        <w:tc>
          <w:tcPr>
            <w:tcW w:w="1174" w:type="dxa"/>
            <w:tcBorders>
              <w:right w:val="nil"/>
            </w:tcBorders>
            <w:textDirection w:val="btLr"/>
            <w:vAlign w:val="center"/>
          </w:tcPr>
          <w:p w14:paraId="5E2B6F71" w14:textId="77777777" w:rsidR="00E85BBF" w:rsidRPr="00E85BBF" w:rsidRDefault="00E85BBF" w:rsidP="00E85BBF">
            <w:pPr>
              <w:widowControl/>
              <w:spacing w:before="120"/>
              <w:ind w:left="113" w:right="113"/>
              <w:jc w:val="center"/>
              <w:rPr>
                <w:sz w:val="18"/>
                <w:szCs w:val="18"/>
                <w:lang w:eastAsia="en-US"/>
              </w:rPr>
            </w:pPr>
          </w:p>
        </w:tc>
        <w:tc>
          <w:tcPr>
            <w:tcW w:w="6017" w:type="dxa"/>
            <w:tcBorders>
              <w:left w:val="nil"/>
            </w:tcBorders>
            <w:vAlign w:val="center"/>
          </w:tcPr>
          <w:p w14:paraId="435F23D5" w14:textId="77777777" w:rsidR="00E85BBF" w:rsidRPr="00E85BBF" w:rsidRDefault="00012620" w:rsidP="00E85BBF">
            <w:pPr>
              <w:widowControl/>
              <w:spacing w:before="120"/>
              <w:ind w:left="317" w:hanging="317"/>
              <w:rPr>
                <w:sz w:val="18"/>
                <w:szCs w:val="18"/>
                <w:lang w:val="fr-FR" w:eastAsia="en-US"/>
              </w:rPr>
            </w:pPr>
            <w:sdt>
              <w:sdtPr>
                <w:rPr>
                  <w:sz w:val="18"/>
                  <w:szCs w:val="18"/>
                  <w:lang w:val="fr-BE" w:eastAsia="en-US"/>
                </w:rPr>
                <w:id w:val="2022975554"/>
                <w14:checkbox>
                  <w14:checked w14:val="0"/>
                  <w14:checkedState w14:val="2612" w14:font="MS Gothic"/>
                  <w14:uncheckedState w14:val="2610" w14:font="MS Gothic"/>
                </w14:checkbox>
              </w:sdtPr>
              <w:sdtEndPr/>
              <w:sdtContent>
                <w:r w:rsidR="00E85BBF" w:rsidRPr="00E85BBF">
                  <w:rPr>
                    <w:rFonts w:eastAsia="MS Gothic" w:hint="eastAsia"/>
                    <w:sz w:val="18"/>
                    <w:szCs w:val="18"/>
                    <w:lang w:val="fr-BE" w:eastAsia="en-US"/>
                  </w:rPr>
                  <w:t>☐</w:t>
                </w:r>
              </w:sdtContent>
            </w:sdt>
            <w:r w:rsidR="00E85BBF" w:rsidRPr="00E85BBF">
              <w:rPr>
                <w:sz w:val="18"/>
                <w:szCs w:val="18"/>
                <w:lang w:val="fr-BE" w:eastAsia="en-US"/>
              </w:rPr>
              <w:t xml:space="preserve"> </w:t>
            </w:r>
            <w:r w:rsidR="00E85BBF" w:rsidRPr="00E85BBF">
              <w:rPr>
                <w:sz w:val="18"/>
                <w:szCs w:val="18"/>
                <w:lang w:val="fr-FR" w:eastAsia="en-US"/>
              </w:rPr>
              <w:t>Dangerous substances Directive</w:t>
            </w:r>
          </w:p>
          <w:p w14:paraId="33EE7DCB" w14:textId="77777777" w:rsidR="00E85BBF" w:rsidRPr="00E85BBF" w:rsidRDefault="00E85BBF" w:rsidP="00E85BBF">
            <w:pPr>
              <w:widowControl/>
              <w:spacing w:before="120"/>
              <w:ind w:left="317"/>
              <w:rPr>
                <w:sz w:val="18"/>
                <w:szCs w:val="18"/>
                <w:lang w:val="fr-BE" w:eastAsia="en-US"/>
              </w:rPr>
            </w:pPr>
            <w:r w:rsidRPr="00E85BBF">
              <w:rPr>
                <w:sz w:val="18"/>
                <w:szCs w:val="18"/>
                <w:lang w:val="fr-FR" w:eastAsia="en-US"/>
              </w:rPr>
              <w:t xml:space="preserve"> Directive 67/548/EEC (NONS)</w:t>
            </w:r>
          </w:p>
        </w:tc>
      </w:tr>
      <w:tr w:rsidR="00E85BBF" w:rsidRPr="00E85BBF" w14:paraId="331FB6B8" w14:textId="77777777" w:rsidTr="007C4DD4">
        <w:trPr>
          <w:cantSplit/>
          <w:trHeight w:val="571"/>
        </w:trPr>
        <w:tc>
          <w:tcPr>
            <w:tcW w:w="1433" w:type="dxa"/>
            <w:vMerge/>
            <w:textDirection w:val="btLr"/>
            <w:vAlign w:val="center"/>
          </w:tcPr>
          <w:p w14:paraId="7F581C8B" w14:textId="77777777" w:rsidR="00E85BBF" w:rsidRPr="00E85BBF" w:rsidRDefault="00E85BBF" w:rsidP="00E85BBF">
            <w:pPr>
              <w:widowControl/>
              <w:spacing w:before="120"/>
              <w:ind w:left="113" w:right="113"/>
              <w:jc w:val="center"/>
              <w:rPr>
                <w:sz w:val="18"/>
                <w:szCs w:val="18"/>
                <w:lang w:val="fr-BE" w:eastAsia="en-US"/>
              </w:rPr>
            </w:pPr>
          </w:p>
        </w:tc>
        <w:tc>
          <w:tcPr>
            <w:tcW w:w="1174" w:type="dxa"/>
            <w:tcBorders>
              <w:right w:val="nil"/>
            </w:tcBorders>
            <w:textDirection w:val="btLr"/>
            <w:vAlign w:val="center"/>
          </w:tcPr>
          <w:p w14:paraId="724BFCF3" w14:textId="77777777" w:rsidR="00E85BBF" w:rsidRPr="00E85BBF" w:rsidRDefault="00E85BBF" w:rsidP="00E85BBF">
            <w:pPr>
              <w:widowControl/>
              <w:spacing w:before="120"/>
              <w:ind w:left="113" w:right="113"/>
              <w:jc w:val="center"/>
              <w:rPr>
                <w:sz w:val="18"/>
                <w:szCs w:val="18"/>
                <w:lang w:val="fr-BE" w:eastAsia="en-US"/>
              </w:rPr>
            </w:pPr>
          </w:p>
        </w:tc>
        <w:tc>
          <w:tcPr>
            <w:tcW w:w="6017" w:type="dxa"/>
            <w:tcBorders>
              <w:left w:val="nil"/>
            </w:tcBorders>
            <w:vAlign w:val="center"/>
          </w:tcPr>
          <w:p w14:paraId="6833EB3D" w14:textId="77777777" w:rsidR="00E85BBF" w:rsidRPr="00E85BBF" w:rsidRDefault="00012620" w:rsidP="00E85BBF">
            <w:pPr>
              <w:widowControl/>
              <w:spacing w:before="120"/>
              <w:ind w:left="317" w:hanging="317"/>
              <w:rPr>
                <w:sz w:val="18"/>
                <w:szCs w:val="18"/>
                <w:lang w:eastAsia="en-US"/>
              </w:rPr>
            </w:pPr>
            <w:sdt>
              <w:sdtPr>
                <w:rPr>
                  <w:sz w:val="18"/>
                  <w:szCs w:val="18"/>
                  <w:lang w:eastAsia="en-US"/>
                </w:rPr>
                <w:id w:val="983901159"/>
                <w14:checkbox>
                  <w14:checked w14:val="1"/>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Existing Substances Regulation</w:t>
            </w:r>
            <w:r w:rsidR="00E85BBF" w:rsidRPr="00E85BBF">
              <w:rPr>
                <w:sz w:val="18"/>
                <w:szCs w:val="18"/>
                <w:vertAlign w:val="superscript"/>
                <w:lang w:eastAsia="en-US"/>
              </w:rPr>
              <w:footnoteReference w:id="3"/>
            </w:r>
          </w:p>
          <w:p w14:paraId="2AD471D5" w14:textId="77777777" w:rsidR="00E85BBF" w:rsidRPr="00E85BBF" w:rsidRDefault="00E85BBF" w:rsidP="00E85BBF">
            <w:pPr>
              <w:widowControl/>
              <w:spacing w:before="120"/>
              <w:ind w:left="317"/>
              <w:rPr>
                <w:sz w:val="18"/>
                <w:szCs w:val="18"/>
                <w:lang w:eastAsia="en-US"/>
              </w:rPr>
            </w:pPr>
            <w:r w:rsidRPr="00E85BBF">
              <w:rPr>
                <w:sz w:val="18"/>
                <w:szCs w:val="18"/>
                <w:lang w:eastAsia="en-US"/>
              </w:rPr>
              <w:t xml:space="preserve"> Regulation 793/93/EEC (RAR/RRS)   </w:t>
            </w:r>
          </w:p>
        </w:tc>
      </w:tr>
      <w:tr w:rsidR="00E85BBF" w:rsidRPr="00E85BBF" w14:paraId="4D4EB5FF" w14:textId="77777777" w:rsidTr="007C4DD4">
        <w:trPr>
          <w:cantSplit/>
          <w:trHeight w:val="512"/>
        </w:trPr>
        <w:tc>
          <w:tcPr>
            <w:tcW w:w="1433" w:type="dxa"/>
            <w:vMerge w:val="restart"/>
            <w:textDirection w:val="btLr"/>
            <w:vAlign w:val="center"/>
          </w:tcPr>
          <w:p w14:paraId="62B18F7A" w14:textId="77777777" w:rsidR="00E85BBF" w:rsidRPr="00E85BBF" w:rsidRDefault="00E85BBF" w:rsidP="00E85BBF">
            <w:pPr>
              <w:widowControl/>
              <w:spacing w:before="120"/>
              <w:ind w:left="113" w:right="113"/>
              <w:jc w:val="center"/>
              <w:rPr>
                <w:sz w:val="18"/>
                <w:szCs w:val="18"/>
                <w:lang w:eastAsia="en-US"/>
              </w:rPr>
            </w:pPr>
            <w:r w:rsidRPr="00E85BBF">
              <w:rPr>
                <w:sz w:val="18"/>
                <w:szCs w:val="18"/>
                <w:lang w:eastAsia="en-US"/>
              </w:rPr>
              <w:t>(UNEP) Stockholm convention (POPs Protocol)</w:t>
            </w:r>
          </w:p>
        </w:tc>
        <w:tc>
          <w:tcPr>
            <w:tcW w:w="1174" w:type="dxa"/>
            <w:tcBorders>
              <w:right w:val="nil"/>
            </w:tcBorders>
            <w:textDirection w:val="btLr"/>
            <w:vAlign w:val="center"/>
          </w:tcPr>
          <w:p w14:paraId="50DA24F8" w14:textId="77777777" w:rsidR="00E85BBF" w:rsidRPr="00E85BBF" w:rsidRDefault="00E85BBF" w:rsidP="00E85BBF">
            <w:pPr>
              <w:widowControl/>
              <w:spacing w:before="120"/>
              <w:ind w:left="113" w:right="113"/>
              <w:jc w:val="center"/>
              <w:rPr>
                <w:sz w:val="18"/>
                <w:szCs w:val="18"/>
                <w:lang w:eastAsia="en-US"/>
              </w:rPr>
            </w:pPr>
          </w:p>
        </w:tc>
        <w:tc>
          <w:tcPr>
            <w:tcW w:w="6017" w:type="dxa"/>
            <w:tcBorders>
              <w:left w:val="nil"/>
            </w:tcBorders>
            <w:vAlign w:val="center"/>
          </w:tcPr>
          <w:p w14:paraId="5BC91C47" w14:textId="77777777" w:rsidR="00E85BBF" w:rsidRPr="00E85BBF" w:rsidRDefault="00012620" w:rsidP="00E85BBF">
            <w:pPr>
              <w:widowControl/>
              <w:spacing w:before="120"/>
              <w:jc w:val="both"/>
              <w:rPr>
                <w:sz w:val="18"/>
                <w:szCs w:val="18"/>
                <w:lang w:eastAsia="en-US"/>
              </w:rPr>
            </w:pPr>
            <w:sdt>
              <w:sdtPr>
                <w:rPr>
                  <w:sz w:val="18"/>
                  <w:szCs w:val="18"/>
                  <w:lang w:eastAsia="en-US"/>
                </w:rPr>
                <w:id w:val="1125200805"/>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Assessment   </w:t>
            </w:r>
          </w:p>
        </w:tc>
      </w:tr>
      <w:tr w:rsidR="00E85BBF" w:rsidRPr="00E85BBF" w14:paraId="5EB7C9D7" w14:textId="77777777" w:rsidTr="007C4DD4">
        <w:trPr>
          <w:cantSplit/>
          <w:trHeight w:val="687"/>
        </w:trPr>
        <w:tc>
          <w:tcPr>
            <w:tcW w:w="1433" w:type="dxa"/>
            <w:vMerge/>
            <w:textDirection w:val="btLr"/>
            <w:vAlign w:val="center"/>
          </w:tcPr>
          <w:p w14:paraId="5FA8C82F" w14:textId="77777777" w:rsidR="00E85BBF" w:rsidRPr="00E85BBF" w:rsidRDefault="00E85BBF" w:rsidP="00E85BBF">
            <w:pPr>
              <w:widowControl/>
              <w:spacing w:before="120"/>
              <w:ind w:left="113" w:right="113"/>
              <w:jc w:val="center"/>
              <w:rPr>
                <w:sz w:val="18"/>
                <w:szCs w:val="18"/>
                <w:lang w:eastAsia="en-US"/>
              </w:rPr>
            </w:pPr>
          </w:p>
        </w:tc>
        <w:tc>
          <w:tcPr>
            <w:tcW w:w="1174" w:type="dxa"/>
            <w:tcBorders>
              <w:right w:val="nil"/>
            </w:tcBorders>
            <w:textDirection w:val="btLr"/>
            <w:vAlign w:val="center"/>
          </w:tcPr>
          <w:p w14:paraId="69149707" w14:textId="77777777" w:rsidR="00E85BBF" w:rsidRPr="00E85BBF" w:rsidRDefault="00E85BBF" w:rsidP="00E85BBF">
            <w:pPr>
              <w:widowControl/>
              <w:spacing w:before="120" w:after="120"/>
              <w:ind w:left="113" w:right="113"/>
              <w:jc w:val="center"/>
              <w:rPr>
                <w:sz w:val="18"/>
                <w:szCs w:val="18"/>
                <w:lang w:eastAsia="en-US"/>
              </w:rPr>
            </w:pPr>
          </w:p>
        </w:tc>
        <w:tc>
          <w:tcPr>
            <w:tcW w:w="6017" w:type="dxa"/>
            <w:tcBorders>
              <w:left w:val="nil"/>
            </w:tcBorders>
            <w:vAlign w:val="center"/>
          </w:tcPr>
          <w:p w14:paraId="55F2CD38" w14:textId="77777777" w:rsidR="00E85BBF" w:rsidRPr="00E85BBF" w:rsidRDefault="00012620" w:rsidP="00E85BBF">
            <w:pPr>
              <w:widowControl/>
              <w:spacing w:before="120" w:after="120"/>
              <w:jc w:val="both"/>
              <w:rPr>
                <w:sz w:val="18"/>
                <w:szCs w:val="18"/>
                <w:lang w:eastAsia="en-US"/>
              </w:rPr>
            </w:pPr>
            <w:sdt>
              <w:sdtPr>
                <w:rPr>
                  <w:sz w:val="18"/>
                  <w:szCs w:val="18"/>
                  <w:lang w:eastAsia="en-US"/>
                </w:rPr>
                <w:id w:val="689656449"/>
                <w14:checkbox>
                  <w14:checked w14:val="0"/>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In relevant Annex </w:t>
            </w:r>
          </w:p>
        </w:tc>
      </w:tr>
      <w:tr w:rsidR="00E85BBF" w:rsidRPr="00E85BBF" w14:paraId="54602338" w14:textId="77777777" w:rsidTr="007C4DD4">
        <w:trPr>
          <w:cantSplit/>
          <w:trHeight w:val="1338"/>
        </w:trPr>
        <w:tc>
          <w:tcPr>
            <w:tcW w:w="1433" w:type="dxa"/>
            <w:textDirection w:val="btLr"/>
            <w:vAlign w:val="center"/>
          </w:tcPr>
          <w:p w14:paraId="4BC7178B" w14:textId="77777777" w:rsidR="00E85BBF" w:rsidRPr="00E85BBF" w:rsidRDefault="00E85BBF" w:rsidP="00E85BBF">
            <w:pPr>
              <w:widowControl/>
              <w:spacing w:before="120"/>
              <w:ind w:left="113" w:right="113"/>
              <w:jc w:val="center"/>
              <w:rPr>
                <w:sz w:val="18"/>
                <w:szCs w:val="18"/>
                <w:lang w:eastAsia="en-US"/>
              </w:rPr>
            </w:pPr>
            <w:r w:rsidRPr="00E85BBF">
              <w:rPr>
                <w:sz w:val="18"/>
                <w:szCs w:val="18"/>
                <w:lang w:eastAsia="en-US"/>
              </w:rPr>
              <w:t>Other processes/ EU legislation</w:t>
            </w:r>
          </w:p>
        </w:tc>
        <w:tc>
          <w:tcPr>
            <w:tcW w:w="1174" w:type="dxa"/>
            <w:tcBorders>
              <w:right w:val="nil"/>
            </w:tcBorders>
            <w:textDirection w:val="btLr"/>
            <w:vAlign w:val="center"/>
          </w:tcPr>
          <w:p w14:paraId="2FDF128D" w14:textId="77777777" w:rsidR="00E85BBF" w:rsidRPr="00E85BBF" w:rsidRDefault="00E85BBF" w:rsidP="00E85BBF">
            <w:pPr>
              <w:widowControl/>
              <w:spacing w:before="120" w:after="120"/>
              <w:ind w:left="113" w:right="113"/>
              <w:jc w:val="center"/>
              <w:rPr>
                <w:sz w:val="18"/>
                <w:szCs w:val="18"/>
                <w:lang w:eastAsia="en-US"/>
              </w:rPr>
            </w:pPr>
          </w:p>
        </w:tc>
        <w:tc>
          <w:tcPr>
            <w:tcW w:w="6017" w:type="dxa"/>
            <w:tcBorders>
              <w:left w:val="nil"/>
            </w:tcBorders>
            <w:vAlign w:val="center"/>
          </w:tcPr>
          <w:p w14:paraId="1BD78A02" w14:textId="77777777" w:rsidR="00E85BBF" w:rsidRPr="00E85BBF" w:rsidRDefault="00012620" w:rsidP="00E85BBF">
            <w:pPr>
              <w:widowControl/>
              <w:spacing w:before="120" w:after="120"/>
              <w:jc w:val="both"/>
              <w:rPr>
                <w:sz w:val="18"/>
                <w:szCs w:val="18"/>
                <w:lang w:eastAsia="en-US"/>
              </w:rPr>
            </w:pPr>
            <w:sdt>
              <w:sdtPr>
                <w:rPr>
                  <w:sz w:val="18"/>
                  <w:szCs w:val="18"/>
                  <w:lang w:eastAsia="en-US"/>
                </w:rPr>
                <w:id w:val="-1936583114"/>
                <w14:checkbox>
                  <w14:checked w14:val="1"/>
                  <w14:checkedState w14:val="2612" w14:font="MS Gothic"/>
                  <w14:uncheckedState w14:val="2610" w14:font="MS Gothic"/>
                </w14:checkbox>
              </w:sdtPr>
              <w:sdtEndPr/>
              <w:sdtContent>
                <w:r w:rsidR="00E85BBF" w:rsidRPr="00E85BBF">
                  <w:rPr>
                    <w:rFonts w:eastAsia="MS Gothic" w:hint="eastAsia"/>
                    <w:sz w:val="18"/>
                    <w:szCs w:val="18"/>
                    <w:lang w:eastAsia="en-US"/>
                  </w:rPr>
                  <w:t>☒</w:t>
                </w:r>
              </w:sdtContent>
            </w:sdt>
            <w:r w:rsidR="00E85BBF" w:rsidRPr="00E85BBF">
              <w:rPr>
                <w:sz w:val="18"/>
                <w:szCs w:val="18"/>
                <w:lang w:eastAsia="en-US"/>
              </w:rPr>
              <w:t xml:space="preserve"> Other (provide further details below)</w:t>
            </w:r>
            <w:r w:rsidR="00E85BBF" w:rsidRPr="00E85BBF">
              <w:rPr>
                <w:sz w:val="18"/>
                <w:szCs w:val="18"/>
                <w:vertAlign w:val="superscript"/>
                <w:lang w:eastAsia="en-US"/>
              </w:rPr>
              <w:footnoteReference w:id="4"/>
            </w:r>
            <w:r w:rsidR="00E85BBF" w:rsidRPr="00E85BBF">
              <w:rPr>
                <w:sz w:val="18"/>
                <w:szCs w:val="18"/>
                <w:lang w:eastAsia="en-US"/>
              </w:rPr>
              <w:t xml:space="preserve">, </w:t>
            </w:r>
            <w:r w:rsidR="00E85BBF" w:rsidRPr="00E85BBF">
              <w:rPr>
                <w:sz w:val="18"/>
                <w:szCs w:val="18"/>
                <w:vertAlign w:val="superscript"/>
                <w:lang w:eastAsia="en-US"/>
              </w:rPr>
              <w:footnoteReference w:id="5"/>
            </w:r>
          </w:p>
          <w:p w14:paraId="36D63FF3" w14:textId="77777777" w:rsidR="00E85BBF" w:rsidRPr="00E85BBF" w:rsidRDefault="00E85BBF" w:rsidP="00E85BBF">
            <w:pPr>
              <w:widowControl/>
              <w:spacing w:before="120" w:after="120"/>
              <w:jc w:val="both"/>
              <w:rPr>
                <w:sz w:val="18"/>
                <w:szCs w:val="18"/>
                <w:lang w:eastAsia="en-US"/>
              </w:rPr>
            </w:pPr>
          </w:p>
        </w:tc>
      </w:tr>
    </w:tbl>
    <w:p w14:paraId="6A9861E5" w14:textId="3FED66C4" w:rsidR="00957E9B" w:rsidRPr="00F62FAD" w:rsidRDefault="00957E9B" w:rsidP="00957E9B">
      <w:pPr>
        <w:pStyle w:val="Caption"/>
        <w:rPr>
          <w:rFonts w:ascii="Verdana" w:hAnsi="Verdana"/>
          <w:b/>
          <w:i/>
          <w:sz w:val="20"/>
        </w:rPr>
      </w:pPr>
    </w:p>
    <w:p w14:paraId="683539CC" w14:textId="381C97C9" w:rsidR="00BE5AF4" w:rsidRPr="000711F7" w:rsidRDefault="00E85BBF" w:rsidP="00BE5AF4">
      <w:pPr>
        <w:pStyle w:val="Heading3"/>
        <w:numPr>
          <w:ilvl w:val="0"/>
          <w:numId w:val="6"/>
        </w:numPr>
        <w:rPr>
          <w:color w:val="4F81BD" w:themeColor="accent1"/>
          <w:sz w:val="24"/>
          <w:szCs w:val="28"/>
        </w:rPr>
      </w:pPr>
      <w:r>
        <w:rPr>
          <w:color w:val="4F81BD" w:themeColor="accent1"/>
          <w:sz w:val="24"/>
          <w:szCs w:val="28"/>
        </w:rPr>
        <w:t xml:space="preserve"> </w:t>
      </w:r>
      <w:r w:rsidR="00BE5AF4" w:rsidRPr="000711F7">
        <w:rPr>
          <w:color w:val="4F81BD" w:themeColor="accent1"/>
          <w:sz w:val="24"/>
          <w:szCs w:val="28"/>
        </w:rPr>
        <w:t>CONCLUSION</w:t>
      </w:r>
      <w:r w:rsidR="00166209" w:rsidRPr="000711F7">
        <w:rPr>
          <w:color w:val="4F81BD" w:themeColor="accent1"/>
          <w:sz w:val="24"/>
          <w:szCs w:val="28"/>
        </w:rPr>
        <w:t xml:space="preserve"> OF RMOA</w:t>
      </w:r>
    </w:p>
    <w:p w14:paraId="683539CD" w14:textId="77777777" w:rsidR="00BE5AF4" w:rsidRPr="00D53A3D" w:rsidRDefault="00BE5AF4" w:rsidP="00FB30A3">
      <w:r w:rsidRPr="00D53A3D">
        <w:t>This conclusion is based on the REACH and CLP data as well as other available relevant information taking into account the SVHC Roadmap to 2020, where appropriate.</w:t>
      </w:r>
    </w:p>
    <w:p w14:paraId="683539CE" w14:textId="77777777" w:rsidR="00D37806" w:rsidRDefault="00D37806" w:rsidP="00FB30A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t>Need for follow-up regulatory action at EU level:</w:t>
            </w:r>
          </w:p>
        </w:tc>
        <w:tc>
          <w:tcPr>
            <w:tcW w:w="912" w:type="dxa"/>
            <w:tcBorders>
              <w:bottom w:val="dashed" w:sz="4" w:space="0" w:color="auto"/>
            </w:tcBorders>
            <w:vAlign w:val="center"/>
          </w:tcPr>
          <w:p w14:paraId="683539D5" w14:textId="77777777" w:rsidR="00B2524D" w:rsidRPr="00B2524D" w:rsidDel="001E1883" w:rsidRDefault="00B2524D" w:rsidP="00B2524D">
            <w:pPr>
              <w:spacing w:line="276" w:lineRule="auto"/>
            </w:pP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3B41F32D" w:rsidR="00B2524D" w:rsidRPr="00B2524D" w:rsidRDefault="0091435B" w:rsidP="0091435B">
            <w:pPr>
              <w:jc w:val="center"/>
            </w:pPr>
            <w:r>
              <w:t>X</w:t>
            </w:r>
          </w:p>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329D828A" w:rsidR="00B2524D" w:rsidRPr="00B2524D" w:rsidRDefault="00B2524D" w:rsidP="00B2524D">
            <w:pPr>
              <w:jc w:val="center"/>
            </w:pP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77777777" w:rsidR="00B2524D" w:rsidRPr="00B2524D" w:rsidRDefault="00B2524D" w:rsidP="00B2524D"/>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77777777" w:rsidR="00B2524D" w:rsidRPr="00B2524D" w:rsidRDefault="00B2524D" w:rsidP="00B2524D">
            <w:pPr>
              <w:spacing w:line="276" w:lineRule="auto"/>
              <w:jc w:val="center"/>
            </w:pP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A02" w14:textId="77777777" w:rsidR="00A446BC" w:rsidRPr="006E3CBA" w:rsidRDefault="00A446BC" w:rsidP="00471457"/>
    <w:p w14:paraId="262FDCB4" w14:textId="34FA9CE4" w:rsidR="004A2080" w:rsidRPr="001E09A4" w:rsidRDefault="00AF77F1" w:rsidP="001E09A4">
      <w:pPr>
        <w:pStyle w:val="Heading3"/>
        <w:numPr>
          <w:ilvl w:val="0"/>
          <w:numId w:val="6"/>
        </w:numPr>
        <w:rPr>
          <w:color w:val="4F81BD" w:themeColor="accent1"/>
          <w:sz w:val="24"/>
          <w:szCs w:val="28"/>
        </w:rPr>
      </w:pPr>
      <w:r w:rsidRPr="00270FFE">
        <w:rPr>
          <w:caps/>
          <w:color w:val="4F81BD" w:themeColor="accent1"/>
          <w:sz w:val="24"/>
          <w:szCs w:val="28"/>
        </w:rPr>
        <w:t>Need for follow-up regulatory action at EU level</w:t>
      </w:r>
      <w:r w:rsidR="00471457" w:rsidRPr="000711F7">
        <w:rPr>
          <w:color w:val="4F81BD" w:themeColor="accent1"/>
          <w:sz w:val="24"/>
          <w:szCs w:val="28"/>
        </w:rPr>
        <w:t xml:space="preserve"> </w:t>
      </w:r>
    </w:p>
    <w:p w14:paraId="68353A12" w14:textId="7E4BB373" w:rsidR="004F6831" w:rsidRPr="001E09A4" w:rsidRDefault="001E09A4" w:rsidP="008A1880">
      <w:pPr>
        <w:pStyle w:val="Heading3"/>
        <w:widowControl/>
        <w:numPr>
          <w:ilvl w:val="1"/>
          <w:numId w:val="6"/>
        </w:numPr>
        <w:spacing w:before="200" w:after="0" w:line="276" w:lineRule="auto"/>
        <w:rPr>
          <w:color w:val="4F81BD" w:themeColor="accent1"/>
          <w:sz w:val="24"/>
          <w:szCs w:val="24"/>
        </w:rPr>
      </w:pPr>
      <w:bookmarkStart w:id="1" w:name="_Toc357683639"/>
      <w:r w:rsidRPr="001E09A4">
        <w:rPr>
          <w:color w:val="4F81BD" w:themeColor="accent1"/>
          <w:sz w:val="24"/>
          <w:szCs w:val="24"/>
        </w:rPr>
        <w:t>Harmonised classification and labelling</w:t>
      </w:r>
    </w:p>
    <w:p w14:paraId="7DC48C91" w14:textId="6AD0F211" w:rsidR="001E09A4" w:rsidRPr="001E09A4" w:rsidRDefault="001E09A4" w:rsidP="001E09A4">
      <w:pPr>
        <w:widowControl/>
        <w:spacing w:after="180"/>
        <w:jc w:val="both"/>
        <w:rPr>
          <w:snapToGrid/>
          <w:lang w:val="en-US" w:eastAsia="en-US"/>
        </w:rPr>
      </w:pPr>
      <w:proofErr w:type="spellStart"/>
      <w:r w:rsidRPr="001E09A4">
        <w:rPr>
          <w:snapToGrid/>
          <w:lang w:val="en-US" w:eastAsia="en-US"/>
        </w:rPr>
        <w:t>Nitrilotriacetic</w:t>
      </w:r>
      <w:proofErr w:type="spellEnd"/>
      <w:r w:rsidRPr="001E09A4">
        <w:rPr>
          <w:snapToGrid/>
          <w:lang w:val="en-US" w:eastAsia="en-US"/>
        </w:rPr>
        <w:t xml:space="preserve"> acid does not have a </w:t>
      </w:r>
      <w:proofErr w:type="spellStart"/>
      <w:r w:rsidRPr="001E09A4">
        <w:rPr>
          <w:snapToGrid/>
          <w:lang w:val="en-US" w:eastAsia="en-US"/>
        </w:rPr>
        <w:t>harmonised</w:t>
      </w:r>
      <w:proofErr w:type="spellEnd"/>
      <w:r w:rsidRPr="001E09A4">
        <w:rPr>
          <w:snapToGrid/>
          <w:lang w:val="en-US" w:eastAsia="en-US"/>
        </w:rPr>
        <w:t xml:space="preserve"> classification under Regulation (EC) No 1272/2008 on the classification, labelling and packaging of substances and mixtures (CLP Regulation).  It is self-classified as Carc</w:t>
      </w:r>
      <w:r>
        <w:rPr>
          <w:snapToGrid/>
          <w:lang w:val="en-US" w:eastAsia="en-US"/>
        </w:rPr>
        <w:t>inogenicity Category</w:t>
      </w:r>
      <w:r w:rsidRPr="001E09A4">
        <w:rPr>
          <w:snapToGrid/>
          <w:lang w:val="en-US" w:eastAsia="en-US"/>
        </w:rPr>
        <w:t xml:space="preserve"> 2 H351 by 352 of 514 </w:t>
      </w:r>
      <w:proofErr w:type="spellStart"/>
      <w:r w:rsidRPr="001E09A4">
        <w:rPr>
          <w:snapToGrid/>
          <w:lang w:val="en-US" w:eastAsia="en-US"/>
        </w:rPr>
        <w:t>notifiers</w:t>
      </w:r>
      <w:proofErr w:type="spellEnd"/>
      <w:r w:rsidRPr="001E09A4">
        <w:rPr>
          <w:snapToGrid/>
          <w:lang w:val="en-US" w:eastAsia="en-US"/>
        </w:rPr>
        <w:t xml:space="preserve"> to the C&amp;L Inventory.  </w:t>
      </w:r>
    </w:p>
    <w:p w14:paraId="6ED54457" w14:textId="77777777" w:rsidR="00B643A7" w:rsidRDefault="001E09A4" w:rsidP="001E09A4">
      <w:pPr>
        <w:widowControl/>
        <w:spacing w:after="180"/>
        <w:jc w:val="both"/>
        <w:rPr>
          <w:snapToGrid/>
          <w:lang w:val="en-US" w:eastAsia="en-US"/>
        </w:rPr>
      </w:pPr>
      <w:proofErr w:type="spellStart"/>
      <w:r w:rsidRPr="001E09A4">
        <w:rPr>
          <w:snapToGrid/>
          <w:lang w:val="en-US" w:eastAsia="en-US"/>
        </w:rPr>
        <w:t>Trisodium</w:t>
      </w:r>
      <w:proofErr w:type="spellEnd"/>
      <w:r w:rsidRPr="001E09A4">
        <w:rPr>
          <w:snapToGrid/>
          <w:lang w:val="en-US" w:eastAsia="en-US"/>
        </w:rPr>
        <w:t xml:space="preserve"> </w:t>
      </w:r>
      <w:proofErr w:type="spellStart"/>
      <w:r w:rsidRPr="001E09A4">
        <w:rPr>
          <w:snapToGrid/>
          <w:lang w:val="en-US" w:eastAsia="en-US"/>
        </w:rPr>
        <w:t>nitrilotriacetate</w:t>
      </w:r>
      <w:proofErr w:type="spellEnd"/>
      <w:r w:rsidRPr="001E09A4">
        <w:rPr>
          <w:snapToGrid/>
          <w:lang w:val="en-US" w:eastAsia="en-US"/>
        </w:rPr>
        <w:t xml:space="preserve"> is the most commonly used salt of </w:t>
      </w:r>
      <w:proofErr w:type="spellStart"/>
      <w:r w:rsidRPr="001E09A4">
        <w:rPr>
          <w:snapToGrid/>
          <w:lang w:val="en-US" w:eastAsia="en-US"/>
        </w:rPr>
        <w:t>nitrilotriacetic</w:t>
      </w:r>
      <w:proofErr w:type="spellEnd"/>
      <w:r w:rsidRPr="001E09A4">
        <w:rPr>
          <w:snapToGrid/>
          <w:lang w:val="en-US" w:eastAsia="en-US"/>
        </w:rPr>
        <w:t xml:space="preserve"> acid.  In terms of toxicology and ecotoxicology, </w:t>
      </w:r>
      <w:r w:rsidRPr="001E09A4">
        <w:rPr>
          <w:snapToGrid/>
          <w:lang w:eastAsia="en-US"/>
        </w:rPr>
        <w:t>it is expected that Na</w:t>
      </w:r>
      <w:r w:rsidRPr="001E09A4">
        <w:rPr>
          <w:snapToGrid/>
          <w:vertAlign w:val="subscript"/>
          <w:lang w:eastAsia="en-US"/>
        </w:rPr>
        <w:t>3</w:t>
      </w:r>
      <w:r w:rsidRPr="001E09A4">
        <w:rPr>
          <w:snapToGrid/>
          <w:lang w:eastAsia="en-US"/>
        </w:rPr>
        <w:t>NTA would dissociate into NTA and Na</w:t>
      </w:r>
      <w:r w:rsidRPr="001E09A4">
        <w:rPr>
          <w:snapToGrid/>
          <w:vertAlign w:val="superscript"/>
          <w:lang w:eastAsia="en-US"/>
        </w:rPr>
        <w:t>+</w:t>
      </w:r>
      <w:r w:rsidRPr="001E09A4">
        <w:rPr>
          <w:snapToGrid/>
          <w:lang w:eastAsia="en-US"/>
        </w:rPr>
        <w:t xml:space="preserve"> and therefore the hazardous properties of Na</w:t>
      </w:r>
      <w:r w:rsidRPr="001E09A4">
        <w:rPr>
          <w:snapToGrid/>
          <w:vertAlign w:val="subscript"/>
          <w:lang w:eastAsia="en-US"/>
        </w:rPr>
        <w:t>3</w:t>
      </w:r>
      <w:r w:rsidRPr="001E09A4">
        <w:rPr>
          <w:snapToGrid/>
          <w:lang w:eastAsia="en-US"/>
        </w:rPr>
        <w:t>NTA are expected to be driven by NTA</w:t>
      </w:r>
      <w:r w:rsidRPr="001E09A4">
        <w:rPr>
          <w:snapToGrid/>
          <w:lang w:val="en-US" w:eastAsia="en-US"/>
        </w:rPr>
        <w:t xml:space="preserve">.  </w:t>
      </w:r>
      <w:proofErr w:type="spellStart"/>
      <w:r w:rsidRPr="001E09A4">
        <w:rPr>
          <w:snapToGrid/>
          <w:lang w:val="en-US" w:eastAsia="en-US"/>
        </w:rPr>
        <w:t>Trisodium</w:t>
      </w:r>
      <w:proofErr w:type="spellEnd"/>
      <w:r w:rsidRPr="001E09A4">
        <w:rPr>
          <w:snapToGrid/>
          <w:lang w:val="en-US" w:eastAsia="en-US"/>
        </w:rPr>
        <w:t xml:space="preserve"> </w:t>
      </w:r>
      <w:proofErr w:type="spellStart"/>
      <w:r w:rsidRPr="001E09A4">
        <w:rPr>
          <w:snapToGrid/>
          <w:lang w:val="en-US" w:eastAsia="en-US"/>
        </w:rPr>
        <w:t>nitrilotriacetate</w:t>
      </w:r>
      <w:proofErr w:type="spellEnd"/>
      <w:r w:rsidRPr="001E09A4">
        <w:rPr>
          <w:snapToGrid/>
          <w:lang w:val="en-US" w:eastAsia="en-US"/>
        </w:rPr>
        <w:t xml:space="preserve"> has a </w:t>
      </w:r>
      <w:proofErr w:type="spellStart"/>
      <w:r w:rsidRPr="001E09A4">
        <w:rPr>
          <w:snapToGrid/>
          <w:lang w:val="en-US" w:eastAsia="en-US"/>
        </w:rPr>
        <w:t>harmonised</w:t>
      </w:r>
      <w:proofErr w:type="spellEnd"/>
      <w:r w:rsidRPr="001E09A4">
        <w:rPr>
          <w:snapToGrid/>
          <w:lang w:val="en-US" w:eastAsia="en-US"/>
        </w:rPr>
        <w:t xml:space="preserve"> classification as Carc</w:t>
      </w:r>
      <w:r w:rsidR="00B643A7">
        <w:rPr>
          <w:snapToGrid/>
          <w:lang w:val="en-US" w:eastAsia="en-US"/>
        </w:rPr>
        <w:t>inogenicity Category</w:t>
      </w:r>
      <w:r w:rsidRPr="001E09A4">
        <w:rPr>
          <w:snapToGrid/>
          <w:lang w:val="en-US" w:eastAsia="en-US"/>
        </w:rPr>
        <w:t xml:space="preserve"> 2 H351 under CLP.  </w:t>
      </w:r>
    </w:p>
    <w:p w14:paraId="774D14B5" w14:textId="3943886B" w:rsidR="001E09A4" w:rsidRPr="001E09A4" w:rsidRDefault="001E09A4" w:rsidP="001E09A4">
      <w:pPr>
        <w:widowControl/>
        <w:spacing w:after="180"/>
        <w:jc w:val="both"/>
        <w:rPr>
          <w:snapToGrid/>
          <w:lang w:val="en-US" w:eastAsia="en-US"/>
        </w:rPr>
      </w:pPr>
      <w:r w:rsidRPr="001E09A4">
        <w:rPr>
          <w:snapToGrid/>
          <w:lang w:val="en-US" w:eastAsia="en-US"/>
        </w:rPr>
        <w:t xml:space="preserve">Based on current available information including read-across justification to </w:t>
      </w:r>
      <w:proofErr w:type="spellStart"/>
      <w:r w:rsidRPr="001E09A4">
        <w:rPr>
          <w:rFonts w:eastAsia="Verdana" w:cs="Verdana"/>
          <w:snapToGrid/>
          <w:lang w:val="en-US" w:eastAsia="en-US"/>
        </w:rPr>
        <w:t>Trisodium</w:t>
      </w:r>
      <w:proofErr w:type="spellEnd"/>
      <w:r w:rsidRPr="001E09A4">
        <w:rPr>
          <w:rFonts w:eastAsia="Verdana" w:cs="Verdana"/>
          <w:snapToGrid/>
          <w:lang w:val="en-US" w:eastAsia="en-US"/>
        </w:rPr>
        <w:t xml:space="preserve"> </w:t>
      </w:r>
      <w:proofErr w:type="spellStart"/>
      <w:r w:rsidRPr="001E09A4">
        <w:rPr>
          <w:rFonts w:eastAsia="Verdana" w:cs="Verdana"/>
          <w:snapToGrid/>
          <w:lang w:val="en-US" w:eastAsia="en-US"/>
        </w:rPr>
        <w:t>Nitrilotriacetate</w:t>
      </w:r>
      <w:proofErr w:type="spellEnd"/>
      <w:r w:rsidRPr="001E09A4">
        <w:rPr>
          <w:rFonts w:eastAsia="Verdana" w:cs="Verdana"/>
          <w:snapToGrid/>
          <w:lang w:val="en-US" w:eastAsia="en-US"/>
        </w:rPr>
        <w:t xml:space="preserve"> and CLP notifications, we consider the data included in </w:t>
      </w:r>
      <w:r w:rsidR="00B643A7">
        <w:rPr>
          <w:rFonts w:eastAsia="Verdana" w:cs="Verdana"/>
          <w:snapToGrid/>
          <w:lang w:val="en-US" w:eastAsia="en-US"/>
        </w:rPr>
        <w:t>the RMOA</w:t>
      </w:r>
      <w:r w:rsidRPr="001E09A4">
        <w:rPr>
          <w:rFonts w:eastAsia="Verdana" w:cs="Verdana"/>
          <w:snapToGrid/>
          <w:lang w:val="en-US" w:eastAsia="en-US"/>
        </w:rPr>
        <w:t xml:space="preserve"> supports the need for further risk management in the preparation of an Annex VI CLH dossier for </w:t>
      </w:r>
      <w:proofErr w:type="spellStart"/>
      <w:r w:rsidRPr="001E09A4">
        <w:rPr>
          <w:rFonts w:eastAsia="Verdana" w:cs="Verdana"/>
          <w:snapToGrid/>
          <w:lang w:val="en-US" w:eastAsia="en-US"/>
        </w:rPr>
        <w:t>harmonised</w:t>
      </w:r>
      <w:proofErr w:type="spellEnd"/>
      <w:r w:rsidRPr="001E09A4">
        <w:rPr>
          <w:rFonts w:eastAsia="Verdana" w:cs="Verdana"/>
          <w:snapToGrid/>
          <w:lang w:val="en-US" w:eastAsia="en-US"/>
        </w:rPr>
        <w:t xml:space="preserve"> classification for Carcinogenicity Category 2.</w:t>
      </w:r>
    </w:p>
    <w:p w14:paraId="773508C0" w14:textId="77777777" w:rsidR="001E09A4" w:rsidRPr="001E09A4" w:rsidRDefault="001E09A4" w:rsidP="001E09A4">
      <w:pPr>
        <w:widowControl/>
        <w:jc w:val="both"/>
        <w:rPr>
          <w:snapToGrid/>
          <w:highlight w:val="yellow"/>
          <w:lang w:val="en-US" w:eastAsia="en-US"/>
        </w:rPr>
      </w:pPr>
      <w:r w:rsidRPr="001E09A4">
        <w:rPr>
          <w:snapToGrid/>
          <w:lang w:val="en-US" w:eastAsia="en-US"/>
        </w:rPr>
        <w:t xml:space="preserve">Since </w:t>
      </w:r>
      <w:proofErr w:type="spellStart"/>
      <w:r w:rsidRPr="001E09A4">
        <w:rPr>
          <w:snapToGrid/>
          <w:lang w:val="en-US" w:eastAsia="en-US"/>
        </w:rPr>
        <w:t>Nitrilotriacetic</w:t>
      </w:r>
      <w:proofErr w:type="spellEnd"/>
      <w:r w:rsidRPr="001E09A4">
        <w:rPr>
          <w:snapToGrid/>
          <w:lang w:val="en-US" w:eastAsia="en-US"/>
        </w:rPr>
        <w:t xml:space="preserve"> acid has industrial, professional and consumer uses, and since not all </w:t>
      </w:r>
      <w:proofErr w:type="spellStart"/>
      <w:r w:rsidRPr="001E09A4">
        <w:rPr>
          <w:snapToGrid/>
          <w:lang w:val="en-US" w:eastAsia="en-US"/>
        </w:rPr>
        <w:t>notifiers</w:t>
      </w:r>
      <w:proofErr w:type="spellEnd"/>
      <w:r w:rsidRPr="001E09A4">
        <w:rPr>
          <w:snapToGrid/>
          <w:lang w:val="en-US" w:eastAsia="en-US"/>
        </w:rPr>
        <w:t xml:space="preserve"> to the C&amp;L database have self-classified as </w:t>
      </w:r>
      <w:proofErr w:type="spellStart"/>
      <w:r w:rsidRPr="001E09A4">
        <w:rPr>
          <w:snapToGrid/>
          <w:lang w:val="en-US" w:eastAsia="en-US"/>
        </w:rPr>
        <w:t>Carc</w:t>
      </w:r>
      <w:proofErr w:type="spellEnd"/>
      <w:r w:rsidRPr="001E09A4">
        <w:rPr>
          <w:snapToGrid/>
          <w:lang w:val="en-US" w:eastAsia="en-US"/>
        </w:rPr>
        <w:t xml:space="preserve">. 2, we conclude that the most appropriate risk management measure is to prepare an Annex VI CLH dossier for </w:t>
      </w:r>
      <w:proofErr w:type="spellStart"/>
      <w:r w:rsidRPr="001E09A4">
        <w:rPr>
          <w:snapToGrid/>
          <w:lang w:val="en-US" w:eastAsia="en-US"/>
        </w:rPr>
        <w:t>harmonised</w:t>
      </w:r>
      <w:proofErr w:type="spellEnd"/>
      <w:r w:rsidRPr="001E09A4">
        <w:rPr>
          <w:snapToGrid/>
          <w:lang w:val="en-US" w:eastAsia="en-US"/>
        </w:rPr>
        <w:t xml:space="preserve"> classification.  </w:t>
      </w:r>
    </w:p>
    <w:bookmarkEnd w:id="1"/>
    <w:p w14:paraId="066003D9" w14:textId="77777777" w:rsidR="00492518" w:rsidRPr="00492518" w:rsidRDefault="00492518" w:rsidP="00492518">
      <w:pPr>
        <w:widowControl/>
        <w:spacing w:after="200"/>
        <w:contextualSpacing/>
      </w:pPr>
    </w:p>
    <w:p w14:paraId="68353A3C" w14:textId="3E86C7AC" w:rsidR="00DB0024" w:rsidRPr="00270FFE" w:rsidRDefault="006617E0" w:rsidP="00270FFE">
      <w:pPr>
        <w:pStyle w:val="Heading3"/>
        <w:numPr>
          <w:ilvl w:val="0"/>
          <w:numId w:val="6"/>
        </w:numPr>
        <w:rPr>
          <w:caps/>
          <w:color w:val="4F81BD" w:themeColor="accent1"/>
          <w:sz w:val="24"/>
          <w:szCs w:val="28"/>
        </w:rPr>
      </w:pPr>
      <w:r w:rsidRPr="00270FFE">
        <w:rPr>
          <w:caps/>
          <w:color w:val="4F81BD" w:themeColor="accent1"/>
          <w:sz w:val="24"/>
          <w:szCs w:val="28"/>
        </w:rPr>
        <w:t>TENTATIVE PLAN FOR FOLLOW-UP ACTIONS IF NECESSARY</w:t>
      </w:r>
    </w:p>
    <w:p w14:paraId="68353A4C" w14:textId="77777777" w:rsidR="00A14C19" w:rsidRPr="00166209" w:rsidRDefault="00A14C19" w:rsidP="00765D51">
      <w:pPr>
        <w:spacing w:after="360"/>
        <w:jc w:val="both"/>
      </w:pPr>
      <w:r w:rsidRPr="00166209">
        <w:t xml:space="preserve">Indication of a tentative plan is not a formal commitment </w:t>
      </w:r>
      <w:r w:rsidR="006E2B7B">
        <w:t>by</w:t>
      </w:r>
      <w:r w:rsidRPr="00166209">
        <w:t xml:space="preserve"> the </w:t>
      </w:r>
      <w:r w:rsidR="006E2B7B">
        <w:t>authority</w:t>
      </w:r>
      <w:r w:rsidRPr="00166209">
        <w:t xml:space="preserve">. A commitment to prepare a REACH Annex XV dossier (SVHC, restrictions) and/or CLP Annex VI dossier </w:t>
      </w:r>
      <w:r w:rsidR="00AC79ED" w:rsidRPr="00166209">
        <w:t>sh</w:t>
      </w:r>
      <w:r w:rsidR="00AC79ED">
        <w:t>ould</w:t>
      </w:r>
      <w:r w:rsidR="00AC79ED" w:rsidRPr="00166209">
        <w:t xml:space="preserve"> </w:t>
      </w:r>
      <w:r w:rsidRPr="00166209">
        <w:t>be made via the Registry of Intentions.</w:t>
      </w:r>
      <w:r w:rsidR="00AF6E00">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780"/>
      </w:tblGrid>
      <w:tr w:rsidR="00A14C19" w:rsidRPr="003016DF" w14:paraId="68353A50" w14:textId="77777777" w:rsidTr="00A2050D">
        <w:tc>
          <w:tcPr>
            <w:tcW w:w="2808" w:type="dxa"/>
            <w:shd w:val="clear" w:color="auto" w:fill="auto"/>
          </w:tcPr>
          <w:p w14:paraId="68353A4D" w14:textId="77777777" w:rsidR="00A14C19" w:rsidRPr="003016DF" w:rsidRDefault="00A14C19" w:rsidP="00A2050D">
            <w:pPr>
              <w:rPr>
                <w:b/>
              </w:rPr>
            </w:pPr>
            <w:r w:rsidRPr="003016DF">
              <w:rPr>
                <w:b/>
              </w:rPr>
              <w:t>Follow-up action</w:t>
            </w:r>
          </w:p>
        </w:tc>
        <w:tc>
          <w:tcPr>
            <w:tcW w:w="2520" w:type="dxa"/>
            <w:shd w:val="clear" w:color="auto" w:fill="auto"/>
          </w:tcPr>
          <w:p w14:paraId="68353A4E" w14:textId="515A07FF" w:rsidR="00A14C19" w:rsidRPr="003016DF" w:rsidRDefault="00A14C19" w:rsidP="00BB3275">
            <w:pPr>
              <w:rPr>
                <w:b/>
              </w:rPr>
            </w:pPr>
            <w:r w:rsidRPr="003016DF">
              <w:rPr>
                <w:b/>
              </w:rPr>
              <w:t xml:space="preserve">Date for </w:t>
            </w:r>
            <w:r w:rsidR="00BB3275">
              <w:rPr>
                <w:b/>
              </w:rPr>
              <w:t>follow-up</w:t>
            </w:r>
            <w:r w:rsidRPr="003016DF">
              <w:rPr>
                <w:b/>
              </w:rPr>
              <w:t xml:space="preserve"> </w:t>
            </w:r>
          </w:p>
        </w:tc>
        <w:tc>
          <w:tcPr>
            <w:tcW w:w="3780" w:type="dxa"/>
            <w:shd w:val="clear" w:color="auto" w:fill="auto"/>
          </w:tcPr>
          <w:p w14:paraId="68353A4F" w14:textId="77777777" w:rsidR="00A14C19" w:rsidRPr="003016DF" w:rsidRDefault="00A14C19" w:rsidP="00A2050D">
            <w:pPr>
              <w:rPr>
                <w:b/>
              </w:rPr>
            </w:pPr>
            <w:r w:rsidRPr="003016DF">
              <w:rPr>
                <w:b/>
              </w:rPr>
              <w:t>Actor</w:t>
            </w:r>
          </w:p>
        </w:tc>
      </w:tr>
      <w:tr w:rsidR="00A14C19" w:rsidRPr="003016DF" w14:paraId="68353A54" w14:textId="77777777" w:rsidTr="00A2050D">
        <w:trPr>
          <w:trHeight w:val="624"/>
        </w:trPr>
        <w:tc>
          <w:tcPr>
            <w:tcW w:w="2808" w:type="dxa"/>
            <w:shd w:val="clear" w:color="auto" w:fill="auto"/>
          </w:tcPr>
          <w:p w14:paraId="68353A51" w14:textId="27F762C2" w:rsidR="00A14C19" w:rsidRPr="003016DF" w:rsidRDefault="00193166" w:rsidP="00E85BBF">
            <w:pPr>
              <w:spacing w:after="120"/>
            </w:pPr>
            <w:r>
              <w:t xml:space="preserve">Proposed </w:t>
            </w:r>
            <w:r w:rsidR="00BF7A88">
              <w:t xml:space="preserve">Annex VI </w:t>
            </w:r>
            <w:r>
              <w:t>CLH</w:t>
            </w:r>
            <w:r w:rsidR="00E85BBF">
              <w:t xml:space="preserve"> </w:t>
            </w:r>
            <w:r w:rsidR="004A2080">
              <w:t xml:space="preserve">dossier for </w:t>
            </w:r>
            <w:proofErr w:type="spellStart"/>
            <w:r w:rsidR="00E85BBF">
              <w:t>Nitrilotriacetic</w:t>
            </w:r>
            <w:proofErr w:type="spellEnd"/>
            <w:r w:rsidR="00E85BBF">
              <w:t xml:space="preserve"> Acid</w:t>
            </w:r>
            <w:r w:rsidR="00BF7A88">
              <w:t xml:space="preserve"> for harmonised classification</w:t>
            </w:r>
          </w:p>
        </w:tc>
        <w:tc>
          <w:tcPr>
            <w:tcW w:w="2520" w:type="dxa"/>
            <w:shd w:val="clear" w:color="auto" w:fill="auto"/>
          </w:tcPr>
          <w:p w14:paraId="68353A52" w14:textId="32853182" w:rsidR="00193166" w:rsidRPr="003016DF" w:rsidRDefault="00193166" w:rsidP="004A2080">
            <w:r>
              <w:t>2023-2024</w:t>
            </w:r>
          </w:p>
        </w:tc>
        <w:tc>
          <w:tcPr>
            <w:tcW w:w="3780" w:type="dxa"/>
            <w:shd w:val="clear" w:color="auto" w:fill="auto"/>
          </w:tcPr>
          <w:p w14:paraId="68353A53" w14:textId="68C5CDA7" w:rsidR="00A14C19" w:rsidRPr="003016DF" w:rsidRDefault="004A2080" w:rsidP="00E85BBF">
            <w:r>
              <w:t xml:space="preserve">CA </w:t>
            </w:r>
            <w:r w:rsidR="00E85BBF">
              <w:t>Ireland</w:t>
            </w:r>
          </w:p>
        </w:tc>
      </w:tr>
    </w:tbl>
    <w:p w14:paraId="68353A59" w14:textId="77777777" w:rsidR="00997177" w:rsidRDefault="00012620" w:rsidP="00A9170D">
      <w:bookmarkStart w:id="2" w:name="_GoBack"/>
      <w:bookmarkEnd w:id="2"/>
    </w:p>
    <w:sectPr w:rsidR="00997177">
      <w:foot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63C6F" w16cex:dateUtc="2022-05-23T16:01:00Z"/>
  <w16cex:commentExtensible w16cex:durableId="26363CEF" w16cex:dateUtc="2022-05-23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2FAC05" w16cid:durableId="26363BC8"/>
  <w16cid:commentId w16cid:paraId="60F01C1A" w16cid:durableId="26363C6F"/>
  <w16cid:commentId w16cid:paraId="1251AA28" w16cid:durableId="26363BC9"/>
  <w16cid:commentId w16cid:paraId="214AFFC9" w16cid:durableId="26363CEF"/>
  <w16cid:commentId w16cid:paraId="55C33E18" w16cid:durableId="26363B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BCA87" w14:textId="77777777" w:rsidR="00012620" w:rsidRDefault="00012620" w:rsidP="00471457">
      <w:r>
        <w:separator/>
      </w:r>
    </w:p>
  </w:endnote>
  <w:endnote w:type="continuationSeparator" w:id="0">
    <w:p w14:paraId="12F6031F" w14:textId="77777777" w:rsidR="00012620" w:rsidRDefault="00012620"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3A63" w14:textId="77777777" w:rsidR="007A39FF" w:rsidRPr="00926DC2" w:rsidRDefault="007A39FF" w:rsidP="007A39FF">
    <w:pPr>
      <w:pStyle w:val="Footer"/>
      <w:rPr>
        <w:sz w:val="18"/>
        <w:szCs w:val="18"/>
      </w:rPr>
    </w:pPr>
    <w:r w:rsidRPr="00926DC2">
      <w:rPr>
        <w:sz w:val="18"/>
        <w:szCs w:val="18"/>
      </w:rPr>
      <w:t>Version 2.</w:t>
    </w:r>
    <w:r>
      <w:rPr>
        <w:sz w:val="18"/>
        <w:szCs w:val="18"/>
      </w:rPr>
      <w:t>1</w:t>
    </w:r>
  </w:p>
  <w:p w14:paraId="68353A64" w14:textId="0B76E564" w:rsidR="007A39FF" w:rsidRPr="00926DC2" w:rsidRDefault="001C1F13" w:rsidP="007A39FF">
    <w:pPr>
      <w:pStyle w:val="Footer"/>
      <w:rPr>
        <w:sz w:val="18"/>
        <w:szCs w:val="18"/>
      </w:rPr>
    </w:pPr>
    <w:r>
      <w:rPr>
        <w:sz w:val="18"/>
        <w:szCs w:val="18"/>
      </w:rPr>
      <w:t>October</w:t>
    </w:r>
    <w:r w:rsidR="007A39FF">
      <w:rPr>
        <w:sz w:val="18"/>
        <w:szCs w:val="18"/>
      </w:rPr>
      <w:t xml:space="preserve"> 2015</w:t>
    </w:r>
  </w:p>
  <w:p w14:paraId="68353A67" w14:textId="77777777" w:rsidR="002E4026" w:rsidRDefault="002E4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3A68" w14:textId="6F95497B" w:rsidR="002E4026" w:rsidRPr="00B66083" w:rsidRDefault="00E86372" w:rsidP="002E4026">
    <w:pPr>
      <w:pStyle w:val="Footer"/>
      <w:jc w:val="center"/>
    </w:pPr>
    <w:r w:rsidRPr="009A61C8">
      <w:rPr>
        <w:sz w:val="18"/>
        <w:szCs w:val="18"/>
      </w:rPr>
      <w:t xml:space="preserve">EC no </w:t>
    </w:r>
    <w:r w:rsidR="00A70668" w:rsidRPr="00A70668">
      <w:rPr>
        <w:sz w:val="18"/>
        <w:szCs w:val="18"/>
      </w:rPr>
      <w:t>205-</w:t>
    </w:r>
    <w:r w:rsidR="00606BB0">
      <w:rPr>
        <w:sz w:val="18"/>
        <w:szCs w:val="18"/>
      </w:rPr>
      <w:t>355</w:t>
    </w:r>
    <w:r w:rsidR="00A70668" w:rsidRPr="00A70668">
      <w:rPr>
        <w:sz w:val="18"/>
        <w:szCs w:val="18"/>
      </w:rPr>
      <w:t>-7</w:t>
    </w:r>
    <w:r w:rsidR="00A70668">
      <w:rPr>
        <w:sz w:val="18"/>
        <w:szCs w:val="18"/>
      </w:rPr>
      <w:tab/>
      <w:t xml:space="preserve">MSCA - </w:t>
    </w:r>
    <w:r w:rsidR="00606BB0">
      <w:rPr>
        <w:sz w:val="18"/>
        <w:szCs w:val="18"/>
      </w:rPr>
      <w:t>Ireland</w:t>
    </w:r>
    <w:r>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A9170D">
      <w:rPr>
        <w:noProof/>
        <w:sz w:val="18"/>
        <w:szCs w:val="18"/>
      </w:rPr>
      <w:t>3</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A9170D">
      <w:rPr>
        <w:noProof/>
        <w:sz w:val="18"/>
        <w:szCs w:val="18"/>
      </w:rPr>
      <w:t>5</w:t>
    </w:r>
    <w:r w:rsidR="002E4026" w:rsidRPr="009320DD">
      <w:rPr>
        <w:sz w:val="18"/>
        <w:szCs w:val="18"/>
      </w:rPr>
      <w:fldChar w:fldCharType="end"/>
    </w:r>
  </w:p>
  <w:p w14:paraId="68353A69" w14:textId="77777777" w:rsidR="002E4026" w:rsidRDefault="002E4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3A6A" w14:textId="60D12D69" w:rsidR="00C0335E" w:rsidRPr="00B66083" w:rsidRDefault="00E86372" w:rsidP="00B66083">
    <w:pPr>
      <w:pStyle w:val="Footer"/>
      <w:jc w:val="center"/>
    </w:pPr>
    <w:r w:rsidRPr="009A61C8">
      <w:rPr>
        <w:sz w:val="18"/>
        <w:szCs w:val="18"/>
      </w:rPr>
      <w:t xml:space="preserve">EC no </w:t>
    </w:r>
    <w:r w:rsidR="00957E9B" w:rsidRPr="00A70668">
      <w:rPr>
        <w:sz w:val="18"/>
        <w:szCs w:val="18"/>
      </w:rPr>
      <w:t>205-</w:t>
    </w:r>
    <w:r w:rsidR="00E85BBF">
      <w:rPr>
        <w:sz w:val="18"/>
        <w:szCs w:val="18"/>
      </w:rPr>
      <w:t>355</w:t>
    </w:r>
    <w:r w:rsidR="00957E9B" w:rsidRPr="00A70668">
      <w:rPr>
        <w:sz w:val="18"/>
        <w:szCs w:val="18"/>
      </w:rPr>
      <w:t>-7</w:t>
    </w:r>
    <w:r w:rsidRPr="009A61C8">
      <w:rPr>
        <w:sz w:val="18"/>
        <w:szCs w:val="18"/>
      </w:rPr>
      <w:tab/>
      <w:t xml:space="preserve">MSCA - </w:t>
    </w:r>
    <w:r w:rsidR="00E85BBF">
      <w:rPr>
        <w:sz w:val="18"/>
        <w:szCs w:val="18"/>
      </w:rPr>
      <w:t>Ireland</w:t>
    </w:r>
    <w:r>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A9170D">
      <w:rPr>
        <w:noProof/>
        <w:sz w:val="18"/>
        <w:szCs w:val="18"/>
      </w:rPr>
      <w:t>5</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A9170D">
      <w:rPr>
        <w:noProof/>
        <w:sz w:val="18"/>
        <w:szCs w:val="18"/>
      </w:rPr>
      <w:t>5</w:t>
    </w:r>
    <w:r w:rsidR="00B66083" w:rsidRPr="009320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FE85" w14:textId="77777777" w:rsidR="00012620" w:rsidRDefault="00012620" w:rsidP="00471457">
      <w:r>
        <w:separator/>
      </w:r>
    </w:p>
  </w:footnote>
  <w:footnote w:type="continuationSeparator" w:id="0">
    <w:p w14:paraId="6C6CB576" w14:textId="77777777" w:rsidR="00012620" w:rsidRDefault="00012620" w:rsidP="00471457">
      <w:r>
        <w:continuationSeparator/>
      </w:r>
    </w:p>
  </w:footnote>
  <w:footnote w:id="1">
    <w:p w14:paraId="0782CAD9" w14:textId="4C3B98EB" w:rsidR="001C1F13" w:rsidRDefault="001C1F13" w:rsidP="001C1F13">
      <w:pPr>
        <w:pStyle w:val="FootnoteText"/>
      </w:pPr>
      <w:r>
        <w:rPr>
          <w:rStyle w:val="FootnoteReference"/>
        </w:rPr>
        <w:footnoteRef/>
      </w:r>
      <w:r>
        <w:t xml:space="preserve"> For more information on the SVHC Roadmap: </w:t>
      </w:r>
      <w:hyperlink r:id="rId1" w:history="1">
        <w:r w:rsidR="00A03E87" w:rsidRPr="0022686E">
          <w:rPr>
            <w:rStyle w:val="Hyperlink"/>
          </w:rPr>
          <w:t>http://echa.europa.eu/addressing-chemicals-of-concern/substances-of-potential-concern/svhc-roadmap-to-2020-implementation</w:t>
        </w:r>
      </w:hyperlink>
    </w:p>
  </w:footnote>
  <w:footnote w:id="2">
    <w:p w14:paraId="0734024D" w14:textId="77777777" w:rsidR="00E85BBF" w:rsidRDefault="00E85BBF" w:rsidP="00E85BBF">
      <w:pPr>
        <w:pStyle w:val="FootnoteText"/>
      </w:pPr>
      <w:r>
        <w:rPr>
          <w:rStyle w:val="FootnoteReference"/>
        </w:rPr>
        <w:footnoteRef/>
      </w:r>
      <w:r>
        <w:t xml:space="preserve"> </w:t>
      </w:r>
      <w:r>
        <w:rPr>
          <w:sz w:val="14"/>
        </w:rPr>
        <w:t>Compliance check opened and closed (2016) without issuing a compliance check final decision</w:t>
      </w:r>
    </w:p>
  </w:footnote>
  <w:footnote w:id="3">
    <w:p w14:paraId="7148E71D" w14:textId="77777777" w:rsidR="00E85BBF" w:rsidRDefault="00E85BBF" w:rsidP="00E85BBF">
      <w:pPr>
        <w:pStyle w:val="FootnoteText"/>
      </w:pPr>
      <w:r>
        <w:rPr>
          <w:rStyle w:val="FootnoteReference"/>
        </w:rPr>
        <w:footnoteRef/>
      </w:r>
      <w:r>
        <w:t xml:space="preserve"> </w:t>
      </w:r>
      <w:r w:rsidRPr="005B2B67">
        <w:rPr>
          <w:sz w:val="14"/>
        </w:rPr>
        <w:t xml:space="preserve">European Union Risk Assessment Report </w:t>
      </w:r>
      <w:proofErr w:type="spellStart"/>
      <w:r w:rsidRPr="005B2B67">
        <w:rPr>
          <w:sz w:val="14"/>
        </w:rPr>
        <w:t>Trisodium</w:t>
      </w:r>
      <w:proofErr w:type="spellEnd"/>
      <w:r w:rsidRPr="005B2B67">
        <w:rPr>
          <w:sz w:val="14"/>
        </w:rPr>
        <w:t xml:space="preserve"> </w:t>
      </w:r>
      <w:proofErr w:type="spellStart"/>
      <w:r w:rsidRPr="005B2B67">
        <w:rPr>
          <w:sz w:val="14"/>
        </w:rPr>
        <w:t>Nitrilotriacetate</w:t>
      </w:r>
      <w:proofErr w:type="spellEnd"/>
    </w:p>
  </w:footnote>
  <w:footnote w:id="4">
    <w:p w14:paraId="14D724A5" w14:textId="77777777" w:rsidR="00E85BBF" w:rsidRDefault="00E85BBF" w:rsidP="00E85BBF">
      <w:pPr>
        <w:pStyle w:val="FootnoteText"/>
      </w:pPr>
      <w:r>
        <w:rPr>
          <w:rStyle w:val="FootnoteReference"/>
        </w:rPr>
        <w:footnoteRef/>
      </w:r>
      <w:r>
        <w:t xml:space="preserve"> </w:t>
      </w:r>
      <w:r w:rsidRPr="005B2B67">
        <w:rPr>
          <w:sz w:val="14"/>
        </w:rPr>
        <w:t>Detergent Regulations</w:t>
      </w:r>
      <w:r>
        <w:rPr>
          <w:sz w:val="14"/>
        </w:rPr>
        <w:t xml:space="preserve"> (EC) No. 648/2004</w:t>
      </w:r>
    </w:p>
  </w:footnote>
  <w:footnote w:id="5">
    <w:p w14:paraId="1CA59101" w14:textId="77777777" w:rsidR="00E85BBF" w:rsidRDefault="00E85BBF" w:rsidP="00E85BBF">
      <w:pPr>
        <w:pStyle w:val="FootnoteText"/>
      </w:pPr>
      <w:r>
        <w:rPr>
          <w:rStyle w:val="FootnoteReference"/>
        </w:rPr>
        <w:footnoteRef/>
      </w:r>
      <w:r>
        <w:t xml:space="preserve"> </w:t>
      </w:r>
      <w:r w:rsidRPr="006156E2">
        <w:rPr>
          <w:sz w:val="14"/>
        </w:rPr>
        <w:t>COMMISSION DECISION (EU) 2017/1218 of 23 June 2017 establishing the EU Ecolabel criteria for laundry detergents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3A61" w14:textId="77777777" w:rsidR="00E86372" w:rsidRPr="00375712" w:rsidRDefault="00A41F93" w:rsidP="00E86372">
    <w:pPr>
      <w:ind w:right="26"/>
      <w:rPr>
        <w:lang w:eastAsia="en-GB"/>
      </w:rPr>
    </w:pPr>
    <w:r w:rsidRPr="00A41F93">
      <w:rPr>
        <w:lang w:val="fr-FR"/>
      </w:rPr>
      <w:t>RMOA CONCLUSION DOCUMENT</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 w15:restartNumberingAfterBreak="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8"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0"/>
  </w:num>
  <w:num w:numId="3">
    <w:abstractNumId w:val="4"/>
  </w:num>
  <w:num w:numId="4">
    <w:abstractNumId w:val="0"/>
  </w:num>
  <w:num w:numId="5">
    <w:abstractNumId w:val="3"/>
  </w:num>
  <w:num w:numId="6">
    <w:abstractNumId w:val="12"/>
  </w:num>
  <w:num w:numId="7">
    <w:abstractNumId w:val="1"/>
  </w:num>
  <w:num w:numId="8">
    <w:abstractNumId w:val="2"/>
  </w:num>
  <w:num w:numId="9">
    <w:abstractNumId w:val="6"/>
  </w:num>
  <w:num w:numId="10">
    <w:abstractNumId w:val="7"/>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57"/>
    <w:rsid w:val="00002586"/>
    <w:rsid w:val="000042FA"/>
    <w:rsid w:val="0000560B"/>
    <w:rsid w:val="000122ED"/>
    <w:rsid w:val="00012620"/>
    <w:rsid w:val="0001476D"/>
    <w:rsid w:val="000204C4"/>
    <w:rsid w:val="00024D48"/>
    <w:rsid w:val="00037F48"/>
    <w:rsid w:val="00047BEE"/>
    <w:rsid w:val="00054356"/>
    <w:rsid w:val="000633BF"/>
    <w:rsid w:val="000711F7"/>
    <w:rsid w:val="00077E65"/>
    <w:rsid w:val="0009452D"/>
    <w:rsid w:val="000A3AEB"/>
    <w:rsid w:val="000D5B93"/>
    <w:rsid w:val="000E2FC2"/>
    <w:rsid w:val="000E4E5B"/>
    <w:rsid w:val="000E7032"/>
    <w:rsid w:val="000F3DB6"/>
    <w:rsid w:val="001016C4"/>
    <w:rsid w:val="00112815"/>
    <w:rsid w:val="0011467E"/>
    <w:rsid w:val="001259BB"/>
    <w:rsid w:val="0012634F"/>
    <w:rsid w:val="00126494"/>
    <w:rsid w:val="001448AF"/>
    <w:rsid w:val="00144FCA"/>
    <w:rsid w:val="00147824"/>
    <w:rsid w:val="00166209"/>
    <w:rsid w:val="00183C4B"/>
    <w:rsid w:val="001915C8"/>
    <w:rsid w:val="00193166"/>
    <w:rsid w:val="001C1F13"/>
    <w:rsid w:val="001E09A4"/>
    <w:rsid w:val="001E6C1A"/>
    <w:rsid w:val="00201A44"/>
    <w:rsid w:val="00202966"/>
    <w:rsid w:val="00205775"/>
    <w:rsid w:val="002163CF"/>
    <w:rsid w:val="00220442"/>
    <w:rsid w:val="00227B7E"/>
    <w:rsid w:val="002315A6"/>
    <w:rsid w:val="002460BF"/>
    <w:rsid w:val="00256417"/>
    <w:rsid w:val="00262180"/>
    <w:rsid w:val="002650FC"/>
    <w:rsid w:val="00270FFE"/>
    <w:rsid w:val="0027431B"/>
    <w:rsid w:val="002920AC"/>
    <w:rsid w:val="00294316"/>
    <w:rsid w:val="002B1FC3"/>
    <w:rsid w:val="002C515C"/>
    <w:rsid w:val="002C6ADA"/>
    <w:rsid w:val="002D0A2E"/>
    <w:rsid w:val="002D7699"/>
    <w:rsid w:val="002E3562"/>
    <w:rsid w:val="002E4026"/>
    <w:rsid w:val="002E4672"/>
    <w:rsid w:val="002F261C"/>
    <w:rsid w:val="003065EE"/>
    <w:rsid w:val="0032297A"/>
    <w:rsid w:val="00326F57"/>
    <w:rsid w:val="00332FF4"/>
    <w:rsid w:val="00363833"/>
    <w:rsid w:val="0036659A"/>
    <w:rsid w:val="003746D1"/>
    <w:rsid w:val="003B32BD"/>
    <w:rsid w:val="003C1375"/>
    <w:rsid w:val="003C2E00"/>
    <w:rsid w:val="003C3793"/>
    <w:rsid w:val="003C7FA1"/>
    <w:rsid w:val="003D4597"/>
    <w:rsid w:val="003E1455"/>
    <w:rsid w:val="003E7258"/>
    <w:rsid w:val="00412208"/>
    <w:rsid w:val="00415B10"/>
    <w:rsid w:val="0042483F"/>
    <w:rsid w:val="004364C9"/>
    <w:rsid w:val="00436C19"/>
    <w:rsid w:val="00441EE7"/>
    <w:rsid w:val="0044304E"/>
    <w:rsid w:val="00444011"/>
    <w:rsid w:val="00452825"/>
    <w:rsid w:val="004575EE"/>
    <w:rsid w:val="00463240"/>
    <w:rsid w:val="0046464F"/>
    <w:rsid w:val="00467561"/>
    <w:rsid w:val="00467619"/>
    <w:rsid w:val="00471457"/>
    <w:rsid w:val="00483960"/>
    <w:rsid w:val="00490007"/>
    <w:rsid w:val="00492518"/>
    <w:rsid w:val="004A0728"/>
    <w:rsid w:val="004A2080"/>
    <w:rsid w:val="004A5B50"/>
    <w:rsid w:val="004B10B4"/>
    <w:rsid w:val="004B48E4"/>
    <w:rsid w:val="004B63F1"/>
    <w:rsid w:val="004B7059"/>
    <w:rsid w:val="004C7EF4"/>
    <w:rsid w:val="004D24E8"/>
    <w:rsid w:val="004D64E5"/>
    <w:rsid w:val="004E0601"/>
    <w:rsid w:val="004E385D"/>
    <w:rsid w:val="004E7788"/>
    <w:rsid w:val="004F0B91"/>
    <w:rsid w:val="004F51B6"/>
    <w:rsid w:val="004F6831"/>
    <w:rsid w:val="00501202"/>
    <w:rsid w:val="00502ADE"/>
    <w:rsid w:val="00510C24"/>
    <w:rsid w:val="00513808"/>
    <w:rsid w:val="00515C08"/>
    <w:rsid w:val="00520363"/>
    <w:rsid w:val="00523442"/>
    <w:rsid w:val="00531303"/>
    <w:rsid w:val="005401E5"/>
    <w:rsid w:val="005437BE"/>
    <w:rsid w:val="005575E6"/>
    <w:rsid w:val="00586832"/>
    <w:rsid w:val="00594EC4"/>
    <w:rsid w:val="00596A10"/>
    <w:rsid w:val="005A2AD2"/>
    <w:rsid w:val="005C3710"/>
    <w:rsid w:val="005F2482"/>
    <w:rsid w:val="005F45D1"/>
    <w:rsid w:val="005F6ABE"/>
    <w:rsid w:val="005F79AE"/>
    <w:rsid w:val="00600A04"/>
    <w:rsid w:val="00606BB0"/>
    <w:rsid w:val="00610621"/>
    <w:rsid w:val="00610DF1"/>
    <w:rsid w:val="00621CAC"/>
    <w:rsid w:val="00623882"/>
    <w:rsid w:val="006305CD"/>
    <w:rsid w:val="006617E0"/>
    <w:rsid w:val="00676DCA"/>
    <w:rsid w:val="00680C20"/>
    <w:rsid w:val="00690F3B"/>
    <w:rsid w:val="006941E7"/>
    <w:rsid w:val="006A4ADE"/>
    <w:rsid w:val="006D39F4"/>
    <w:rsid w:val="006E2B7B"/>
    <w:rsid w:val="006E6B1A"/>
    <w:rsid w:val="006F6AE3"/>
    <w:rsid w:val="00705350"/>
    <w:rsid w:val="00713266"/>
    <w:rsid w:val="00741D90"/>
    <w:rsid w:val="00751518"/>
    <w:rsid w:val="00753065"/>
    <w:rsid w:val="00755791"/>
    <w:rsid w:val="00755D9F"/>
    <w:rsid w:val="00761B98"/>
    <w:rsid w:val="00765D51"/>
    <w:rsid w:val="00774DE9"/>
    <w:rsid w:val="00781EA6"/>
    <w:rsid w:val="00784A7F"/>
    <w:rsid w:val="0078730A"/>
    <w:rsid w:val="00791E13"/>
    <w:rsid w:val="007957E4"/>
    <w:rsid w:val="007A2C1C"/>
    <w:rsid w:val="007A39FF"/>
    <w:rsid w:val="007A3BA7"/>
    <w:rsid w:val="007B0208"/>
    <w:rsid w:val="007C0E6B"/>
    <w:rsid w:val="007C392B"/>
    <w:rsid w:val="007D3667"/>
    <w:rsid w:val="007D3F6A"/>
    <w:rsid w:val="007E6C05"/>
    <w:rsid w:val="007F0D03"/>
    <w:rsid w:val="00801152"/>
    <w:rsid w:val="0080484C"/>
    <w:rsid w:val="00817B80"/>
    <w:rsid w:val="00821610"/>
    <w:rsid w:val="00834E4A"/>
    <w:rsid w:val="00835373"/>
    <w:rsid w:val="00835C68"/>
    <w:rsid w:val="00840BD5"/>
    <w:rsid w:val="00853E7D"/>
    <w:rsid w:val="00860FBA"/>
    <w:rsid w:val="00867708"/>
    <w:rsid w:val="00883931"/>
    <w:rsid w:val="008A1880"/>
    <w:rsid w:val="008C0CC7"/>
    <w:rsid w:val="0091435B"/>
    <w:rsid w:val="00920032"/>
    <w:rsid w:val="00922BBA"/>
    <w:rsid w:val="00930C01"/>
    <w:rsid w:val="00933335"/>
    <w:rsid w:val="00933AC5"/>
    <w:rsid w:val="009369B2"/>
    <w:rsid w:val="00955691"/>
    <w:rsid w:val="00955D7A"/>
    <w:rsid w:val="00957E9B"/>
    <w:rsid w:val="00962549"/>
    <w:rsid w:val="00980AC4"/>
    <w:rsid w:val="00983286"/>
    <w:rsid w:val="00983FBD"/>
    <w:rsid w:val="00985B7B"/>
    <w:rsid w:val="00986A52"/>
    <w:rsid w:val="009A4F2F"/>
    <w:rsid w:val="009B0296"/>
    <w:rsid w:val="009B4D5D"/>
    <w:rsid w:val="009C2172"/>
    <w:rsid w:val="009C590C"/>
    <w:rsid w:val="009C5A06"/>
    <w:rsid w:val="009D3C1E"/>
    <w:rsid w:val="009E696B"/>
    <w:rsid w:val="009F191D"/>
    <w:rsid w:val="00A02E88"/>
    <w:rsid w:val="00A03E87"/>
    <w:rsid w:val="00A14C19"/>
    <w:rsid w:val="00A14EC1"/>
    <w:rsid w:val="00A2487E"/>
    <w:rsid w:val="00A263C9"/>
    <w:rsid w:val="00A41F93"/>
    <w:rsid w:val="00A429E9"/>
    <w:rsid w:val="00A4316B"/>
    <w:rsid w:val="00A436BB"/>
    <w:rsid w:val="00A446BC"/>
    <w:rsid w:val="00A44B6E"/>
    <w:rsid w:val="00A45B6C"/>
    <w:rsid w:val="00A54C28"/>
    <w:rsid w:val="00A70668"/>
    <w:rsid w:val="00A75ACF"/>
    <w:rsid w:val="00A80DBE"/>
    <w:rsid w:val="00A9170D"/>
    <w:rsid w:val="00AA4E57"/>
    <w:rsid w:val="00AB0322"/>
    <w:rsid w:val="00AB1228"/>
    <w:rsid w:val="00AC5ED0"/>
    <w:rsid w:val="00AC7509"/>
    <w:rsid w:val="00AC79ED"/>
    <w:rsid w:val="00AD40AE"/>
    <w:rsid w:val="00AE2396"/>
    <w:rsid w:val="00AF5158"/>
    <w:rsid w:val="00AF63F4"/>
    <w:rsid w:val="00AF6E00"/>
    <w:rsid w:val="00AF77F1"/>
    <w:rsid w:val="00B03339"/>
    <w:rsid w:val="00B17F16"/>
    <w:rsid w:val="00B2524D"/>
    <w:rsid w:val="00B32C2E"/>
    <w:rsid w:val="00B37A42"/>
    <w:rsid w:val="00B50F53"/>
    <w:rsid w:val="00B643A7"/>
    <w:rsid w:val="00B66083"/>
    <w:rsid w:val="00B92E74"/>
    <w:rsid w:val="00BB0CE8"/>
    <w:rsid w:val="00BB3275"/>
    <w:rsid w:val="00BC35A3"/>
    <w:rsid w:val="00BC5A7C"/>
    <w:rsid w:val="00BE1CEB"/>
    <w:rsid w:val="00BE5AF4"/>
    <w:rsid w:val="00BF3EEE"/>
    <w:rsid w:val="00BF5819"/>
    <w:rsid w:val="00BF63C3"/>
    <w:rsid w:val="00BF7A88"/>
    <w:rsid w:val="00C0335E"/>
    <w:rsid w:val="00C0431D"/>
    <w:rsid w:val="00C0654A"/>
    <w:rsid w:val="00C32CBD"/>
    <w:rsid w:val="00C411EC"/>
    <w:rsid w:val="00C41684"/>
    <w:rsid w:val="00C42DBF"/>
    <w:rsid w:val="00C52D40"/>
    <w:rsid w:val="00C54EBC"/>
    <w:rsid w:val="00C55123"/>
    <w:rsid w:val="00C56F06"/>
    <w:rsid w:val="00C629E5"/>
    <w:rsid w:val="00C70B2B"/>
    <w:rsid w:val="00C74112"/>
    <w:rsid w:val="00CB1FBE"/>
    <w:rsid w:val="00CB730C"/>
    <w:rsid w:val="00CC7A9E"/>
    <w:rsid w:val="00CE07AB"/>
    <w:rsid w:val="00CE2CAA"/>
    <w:rsid w:val="00CE5346"/>
    <w:rsid w:val="00CF775D"/>
    <w:rsid w:val="00D00E35"/>
    <w:rsid w:val="00D03326"/>
    <w:rsid w:val="00D03EDF"/>
    <w:rsid w:val="00D11FC2"/>
    <w:rsid w:val="00D37806"/>
    <w:rsid w:val="00D462BD"/>
    <w:rsid w:val="00D5375D"/>
    <w:rsid w:val="00D53A3D"/>
    <w:rsid w:val="00D61F8B"/>
    <w:rsid w:val="00D70C76"/>
    <w:rsid w:val="00D75273"/>
    <w:rsid w:val="00DA5A25"/>
    <w:rsid w:val="00DA6B85"/>
    <w:rsid w:val="00DB0024"/>
    <w:rsid w:val="00DC1F12"/>
    <w:rsid w:val="00DD1882"/>
    <w:rsid w:val="00E14856"/>
    <w:rsid w:val="00E36635"/>
    <w:rsid w:val="00E464B0"/>
    <w:rsid w:val="00E55E07"/>
    <w:rsid w:val="00E702C1"/>
    <w:rsid w:val="00E836A7"/>
    <w:rsid w:val="00E85A6B"/>
    <w:rsid w:val="00E85BBF"/>
    <w:rsid w:val="00E86372"/>
    <w:rsid w:val="00EA326C"/>
    <w:rsid w:val="00EA6BD2"/>
    <w:rsid w:val="00EA7CF9"/>
    <w:rsid w:val="00EB3299"/>
    <w:rsid w:val="00EB449C"/>
    <w:rsid w:val="00ED048E"/>
    <w:rsid w:val="00ED10AD"/>
    <w:rsid w:val="00ED55A6"/>
    <w:rsid w:val="00ED5761"/>
    <w:rsid w:val="00EE475E"/>
    <w:rsid w:val="00F145F2"/>
    <w:rsid w:val="00F154FB"/>
    <w:rsid w:val="00F4442B"/>
    <w:rsid w:val="00F503E3"/>
    <w:rsid w:val="00F545EA"/>
    <w:rsid w:val="00F57736"/>
    <w:rsid w:val="00F67BB5"/>
    <w:rsid w:val="00F826BC"/>
    <w:rsid w:val="00F92D91"/>
    <w:rsid w:val="00FA4598"/>
    <w:rsid w:val="00FB30A3"/>
    <w:rsid w:val="00FB4C3F"/>
    <w:rsid w:val="00FC3640"/>
    <w:rsid w:val="00FE0975"/>
    <w:rsid w:val="00FE25D1"/>
    <w:rsid w:val="00FE37D9"/>
    <w:rsid w:val="00FF45DE"/>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3996"/>
  <w15:docId w15:val="{D30F2EAD-E2D7-4CFF-AE7A-E7DC868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Heading1">
    <w:name w:val="heading 1"/>
    <w:aliases w:val="ECHA Heading 1"/>
    <w:basedOn w:val="Normal"/>
    <w:next w:val="BodyText"/>
    <w:link w:val="Heading1Char"/>
    <w:uiPriority w:val="9"/>
    <w:qFormat/>
    <w:rsid w:val="00EA7CF9"/>
    <w:pPr>
      <w:keepNext/>
      <w:keepLines/>
      <w:spacing w:after="240"/>
      <w:outlineLvl w:val="0"/>
    </w:pPr>
    <w:rPr>
      <w:b/>
      <w:snapToGrid/>
      <w:color w:val="0046AD"/>
      <w:sz w:val="28"/>
      <w:szCs w:val="24"/>
    </w:rPr>
  </w:style>
  <w:style w:type="paragraph" w:styleId="Heading2">
    <w:name w:val="heading 2"/>
    <w:aliases w:val="ECHA Heading 2"/>
    <w:basedOn w:val="Heading1"/>
    <w:next w:val="BodyText"/>
    <w:link w:val="Heading2Char"/>
    <w:qFormat/>
    <w:rsid w:val="00EA7CF9"/>
    <w:pPr>
      <w:outlineLvl w:val="1"/>
    </w:pPr>
    <w:rPr>
      <w:rFonts w:cs="Arial"/>
      <w:sz w:val="24"/>
      <w:szCs w:val="22"/>
    </w:rPr>
  </w:style>
  <w:style w:type="paragraph" w:styleId="Heading3">
    <w:name w:val="heading 3"/>
    <w:aliases w:val="ECHA Heading 3"/>
    <w:basedOn w:val="Heading2"/>
    <w:next w:val="BodyText"/>
    <w:link w:val="Heading3Char"/>
    <w:uiPriority w:val="9"/>
    <w:qFormat/>
    <w:rsid w:val="00EA7CF9"/>
    <w:pPr>
      <w:outlineLvl w:val="2"/>
    </w:pPr>
    <w:rPr>
      <w:bCs/>
      <w:color w:val="000000"/>
      <w:sz w:val="22"/>
    </w:rPr>
  </w:style>
  <w:style w:type="paragraph" w:styleId="Heading4">
    <w:name w:val="heading 4"/>
    <w:aliases w:val="ECHA Heading 4"/>
    <w:basedOn w:val="Heading3"/>
    <w:next w:val="BodyText"/>
    <w:link w:val="Heading4Char"/>
    <w:qFormat/>
    <w:rsid w:val="00EA7CF9"/>
    <w:pPr>
      <w:outlineLvl w:val="3"/>
    </w:pPr>
    <w:rPr>
      <w:b w:val="0"/>
      <w:bCs w:val="0"/>
      <w:szCs w:val="28"/>
    </w:rPr>
  </w:style>
  <w:style w:type="paragraph" w:styleId="Heading5">
    <w:name w:val="heading 5"/>
    <w:aliases w:val="ECHA Heading 5"/>
    <w:basedOn w:val="Heading3"/>
    <w:next w:val="BodyText"/>
    <w:link w:val="Heading5Char"/>
    <w:qFormat/>
    <w:rsid w:val="00EA7CF9"/>
    <w:pPr>
      <w:outlineLvl w:val="4"/>
    </w:pPr>
    <w:rPr>
      <w:bCs w:val="0"/>
      <w:iCs/>
      <w:sz w:val="20"/>
      <w:szCs w:val="26"/>
    </w:rPr>
  </w:style>
  <w:style w:type="paragraph" w:styleId="Heading6">
    <w:name w:val="heading 6"/>
    <w:aliases w:val="ECHA Heading 6"/>
    <w:basedOn w:val="Heading5"/>
    <w:next w:val="BodyText"/>
    <w:link w:val="Heading6Char"/>
    <w:qFormat/>
    <w:rsid w:val="00EA7CF9"/>
    <w:pPr>
      <w:outlineLvl w:val="5"/>
    </w:pPr>
    <w:rPr>
      <w:bCs/>
      <w:szCs w:val="22"/>
    </w:rPr>
  </w:style>
  <w:style w:type="paragraph" w:styleId="Heading7">
    <w:name w:val="heading 7"/>
    <w:aliases w:val="ECHA Heading 7"/>
    <w:basedOn w:val="Heading5"/>
    <w:next w:val="BodyText"/>
    <w:link w:val="Heading7Char"/>
    <w:qFormat/>
    <w:rsid w:val="00EA7CF9"/>
    <w:pPr>
      <w:outlineLvl w:val="6"/>
    </w:pPr>
    <w:rPr>
      <w:szCs w:val="24"/>
    </w:rPr>
  </w:style>
  <w:style w:type="paragraph" w:styleId="Heading8">
    <w:name w:val="heading 8"/>
    <w:aliases w:val="ECHA Heading 8"/>
    <w:basedOn w:val="Heading5"/>
    <w:next w:val="BodyText"/>
    <w:link w:val="Heading8Char"/>
    <w:qFormat/>
    <w:rsid w:val="00EA7CF9"/>
    <w:pPr>
      <w:outlineLvl w:val="7"/>
    </w:pPr>
    <w:rPr>
      <w:iCs w:val="0"/>
      <w:szCs w:val="24"/>
    </w:rPr>
  </w:style>
  <w:style w:type="paragraph" w:styleId="Heading9">
    <w:name w:val="heading 9"/>
    <w:aliases w:val="ECHA Heading 9"/>
    <w:basedOn w:val="Heading5"/>
    <w:next w:val="BodyText"/>
    <w:link w:val="Heading9Char"/>
    <w:qFormat/>
    <w:rsid w:val="00EA7CF9"/>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rsid w:val="00EA7CF9"/>
    <w:rPr>
      <w:rFonts w:ascii="Verdana" w:eastAsia="Times New Roman" w:hAnsi="Verdana" w:cs="Times New Roman"/>
      <w:b/>
      <w:snapToGrid w:val="0"/>
      <w:color w:val="0046AD"/>
      <w:sz w:val="28"/>
      <w:szCs w:val="24"/>
      <w:lang w:eastAsia="fi-FI"/>
    </w:rPr>
  </w:style>
  <w:style w:type="character" w:customStyle="1" w:styleId="Heading2Char">
    <w:name w:val="Heading 2 Char"/>
    <w:aliases w:val="ECHA Heading 2 Char"/>
    <w:basedOn w:val="DefaultParagraphFont"/>
    <w:link w:val="Heading2"/>
    <w:rsid w:val="00EA7CF9"/>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EA7CF9"/>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EA7CF9"/>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EA7CF9"/>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EA7CF9"/>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EA7CF9"/>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EA7CF9"/>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NoList"/>
    <w:rsid w:val="00EA7CF9"/>
    <w:pPr>
      <w:numPr>
        <w:numId w:val="1"/>
      </w:numPr>
    </w:pPr>
  </w:style>
  <w:style w:type="numbering" w:customStyle="1" w:styleId="ECHANumberlist">
    <w:name w:val="ECHA Number list"/>
    <w:basedOn w:val="NoList"/>
    <w:rsid w:val="00EA7CF9"/>
    <w:pPr>
      <w:numPr>
        <w:numId w:val="2"/>
      </w:numPr>
    </w:pPr>
  </w:style>
  <w:style w:type="paragraph" w:styleId="BodyText">
    <w:name w:val="Body Text"/>
    <w:aliases w:val="Text"/>
    <w:basedOn w:val="Normal"/>
    <w:link w:val="BodyTextChar"/>
    <w:unhideWhenUsed/>
    <w:rsid w:val="00EA7CF9"/>
    <w:pPr>
      <w:spacing w:after="120"/>
    </w:pPr>
  </w:style>
  <w:style w:type="character" w:customStyle="1" w:styleId="BodyTextChar">
    <w:name w:val="Body Text Char"/>
    <w:aliases w:val="Text Char"/>
    <w:basedOn w:val="DefaultParagraphFont"/>
    <w:link w:val="BodyText"/>
    <w:rsid w:val="00EA7CF9"/>
  </w:style>
  <w:style w:type="paragraph" w:styleId="Title">
    <w:name w:val="Title"/>
    <w:aliases w:val="ECHA Heading"/>
    <w:basedOn w:val="Heading1"/>
    <w:next w:val="BodyText"/>
    <w:link w:val="TitleChar"/>
    <w:qFormat/>
    <w:rsid w:val="00EA7CF9"/>
    <w:rPr>
      <w:rFonts w:cs="Arial"/>
      <w:bCs/>
      <w:szCs w:val="32"/>
    </w:rPr>
  </w:style>
  <w:style w:type="character" w:customStyle="1" w:styleId="TitleChar">
    <w:name w:val="Title Char"/>
    <w:aliases w:val="ECHA Heading Char"/>
    <w:basedOn w:val="DefaultParagraphFont"/>
    <w:link w:val="Title"/>
    <w:rsid w:val="00EA7CF9"/>
    <w:rPr>
      <w:rFonts w:ascii="Verdana" w:eastAsia="Times New Roman" w:hAnsi="Verdana" w:cs="Arial"/>
      <w:b/>
      <w:bCs/>
      <w:snapToGrid w:val="0"/>
      <w:color w:val="0046AD"/>
      <w:sz w:val="28"/>
      <w:szCs w:val="32"/>
      <w:lang w:eastAsia="fi-FI"/>
    </w:rPr>
  </w:style>
  <w:style w:type="paragraph" w:styleId="FootnoteText">
    <w:name w:val="footnote text"/>
    <w:basedOn w:val="Normal"/>
    <w:link w:val="FootnoteTextChar"/>
    <w:uiPriority w:val="99"/>
    <w:semiHidden/>
    <w:qFormat/>
    <w:rsid w:val="00471457"/>
  </w:style>
  <w:style w:type="character" w:customStyle="1" w:styleId="FootnoteTextChar">
    <w:name w:val="Footnote Text Char"/>
    <w:basedOn w:val="DefaultParagraphFont"/>
    <w:link w:val="FootnoteText"/>
    <w:uiPriority w:val="99"/>
    <w:semiHidden/>
    <w:rsid w:val="00471457"/>
    <w:rPr>
      <w:rFonts w:ascii="Verdana" w:eastAsia="Times New Roman" w:hAnsi="Verdana" w:cs="Times New Roman"/>
      <w:snapToGrid w:val="0"/>
      <w:sz w:val="20"/>
      <w:szCs w:val="20"/>
      <w:lang w:eastAsia="fi-FI"/>
    </w:rPr>
  </w:style>
  <w:style w:type="character" w:styleId="FootnoteReference">
    <w:name w:val="footnote reference"/>
    <w:aliases w:val="Footnote,Footnote Reference/"/>
    <w:qFormat/>
    <w:rsid w:val="00471457"/>
    <w:rPr>
      <w:vertAlign w:val="superscript"/>
    </w:rPr>
  </w:style>
  <w:style w:type="paragraph" w:styleId="ListParagraph">
    <w:name w:val="List Paragraph"/>
    <w:basedOn w:val="Normal"/>
    <w:uiPriority w:val="34"/>
    <w:qFormat/>
    <w:rsid w:val="00471457"/>
    <w:pPr>
      <w:ind w:left="720"/>
    </w:pPr>
  </w:style>
  <w:style w:type="paragraph" w:styleId="BalloonText">
    <w:name w:val="Balloon Text"/>
    <w:basedOn w:val="Normal"/>
    <w:link w:val="BalloonTextChar"/>
    <w:uiPriority w:val="99"/>
    <w:semiHidden/>
    <w:unhideWhenUsed/>
    <w:rsid w:val="005F45D1"/>
    <w:rPr>
      <w:rFonts w:ascii="Tahoma" w:hAnsi="Tahoma" w:cs="Tahoma"/>
      <w:sz w:val="16"/>
      <w:szCs w:val="16"/>
    </w:rPr>
  </w:style>
  <w:style w:type="character" w:customStyle="1" w:styleId="BalloonTextChar">
    <w:name w:val="Balloon Text Char"/>
    <w:basedOn w:val="DefaultParagraphFont"/>
    <w:link w:val="BalloonText"/>
    <w:uiPriority w:val="99"/>
    <w:semiHidden/>
    <w:rsid w:val="005F45D1"/>
    <w:rPr>
      <w:rFonts w:ascii="Tahoma" w:eastAsia="Times New Roman" w:hAnsi="Tahoma" w:cs="Tahoma"/>
      <w:snapToGrid w:val="0"/>
      <w:sz w:val="16"/>
      <w:szCs w:val="16"/>
      <w:lang w:eastAsia="fi-FI"/>
    </w:rPr>
  </w:style>
  <w:style w:type="character" w:styleId="CommentReference">
    <w:name w:val="annotation reference"/>
    <w:basedOn w:val="DefaultParagraphFont"/>
    <w:uiPriority w:val="99"/>
    <w:semiHidden/>
    <w:unhideWhenUsed/>
    <w:rsid w:val="002F261C"/>
    <w:rPr>
      <w:sz w:val="16"/>
      <w:szCs w:val="16"/>
    </w:rPr>
  </w:style>
  <w:style w:type="paragraph" w:styleId="CommentText">
    <w:name w:val="annotation text"/>
    <w:basedOn w:val="Normal"/>
    <w:link w:val="CommentTextChar"/>
    <w:uiPriority w:val="99"/>
    <w:unhideWhenUsed/>
    <w:rsid w:val="002F261C"/>
  </w:style>
  <w:style w:type="character" w:customStyle="1" w:styleId="CommentTextChar">
    <w:name w:val="Comment Text Char"/>
    <w:basedOn w:val="DefaultParagraphFont"/>
    <w:link w:val="CommentText"/>
    <w:uiPriority w:val="99"/>
    <w:rsid w:val="002F261C"/>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uiPriority w:val="99"/>
    <w:semiHidden/>
    <w:unhideWhenUsed/>
    <w:rsid w:val="002F261C"/>
    <w:rPr>
      <w:b/>
      <w:bCs/>
    </w:rPr>
  </w:style>
  <w:style w:type="character" w:customStyle="1" w:styleId="CommentSubjectChar">
    <w:name w:val="Comment Subject Char"/>
    <w:basedOn w:val="CommentTextChar"/>
    <w:link w:val="CommentSubject"/>
    <w:uiPriority w:val="99"/>
    <w:semiHidden/>
    <w:rsid w:val="002F261C"/>
    <w:rPr>
      <w:rFonts w:ascii="Verdana" w:eastAsia="Times New Roman" w:hAnsi="Verdana" w:cs="Times New Roman"/>
      <w:b/>
      <w:bCs/>
      <w:snapToGrid w:val="0"/>
      <w:sz w:val="20"/>
      <w:szCs w:val="20"/>
      <w:lang w:eastAsia="fi-FI"/>
    </w:rPr>
  </w:style>
  <w:style w:type="paragraph" w:styleId="Header">
    <w:name w:val="header"/>
    <w:basedOn w:val="Normal"/>
    <w:link w:val="HeaderChar"/>
    <w:uiPriority w:val="99"/>
    <w:unhideWhenUsed/>
    <w:rsid w:val="00A41F93"/>
    <w:pPr>
      <w:tabs>
        <w:tab w:val="center" w:pos="4513"/>
        <w:tab w:val="right" w:pos="9026"/>
      </w:tabs>
    </w:pPr>
  </w:style>
  <w:style w:type="character" w:customStyle="1" w:styleId="HeaderChar">
    <w:name w:val="Header Char"/>
    <w:basedOn w:val="DefaultParagraphFont"/>
    <w:link w:val="Header"/>
    <w:uiPriority w:val="99"/>
    <w:rsid w:val="00A41F93"/>
    <w:rPr>
      <w:rFonts w:ascii="Verdana" w:eastAsia="Times New Roman" w:hAnsi="Verdana" w:cs="Times New Roman"/>
      <w:snapToGrid w:val="0"/>
      <w:sz w:val="20"/>
      <w:szCs w:val="20"/>
      <w:lang w:eastAsia="fi-FI"/>
    </w:rPr>
  </w:style>
  <w:style w:type="paragraph" w:styleId="Footer">
    <w:name w:val="footer"/>
    <w:basedOn w:val="Normal"/>
    <w:link w:val="FooterChar"/>
    <w:uiPriority w:val="99"/>
    <w:unhideWhenUsed/>
    <w:rsid w:val="00A41F93"/>
    <w:pPr>
      <w:tabs>
        <w:tab w:val="center" w:pos="4513"/>
        <w:tab w:val="right" w:pos="9026"/>
      </w:tabs>
    </w:pPr>
  </w:style>
  <w:style w:type="character" w:customStyle="1" w:styleId="FooterChar">
    <w:name w:val="Footer Char"/>
    <w:basedOn w:val="DefaultParagraphFont"/>
    <w:link w:val="Footer"/>
    <w:uiPriority w:val="99"/>
    <w:rsid w:val="00A41F93"/>
    <w:rPr>
      <w:rFonts w:ascii="Verdana" w:eastAsia="Times New Roman" w:hAnsi="Verdana" w:cs="Times New Roman"/>
      <w:snapToGrid w:val="0"/>
      <w:sz w:val="20"/>
      <w:szCs w:val="20"/>
      <w:lang w:eastAsia="fi-FI"/>
    </w:rPr>
  </w:style>
  <w:style w:type="character" w:styleId="Hyperlink">
    <w:name w:val="Hyperlink"/>
    <w:basedOn w:val="DefaultParagraphFont"/>
    <w:uiPriority w:val="99"/>
    <w:rsid w:val="002E4026"/>
    <w:rPr>
      <w:rFonts w:ascii="Verdana" w:hAnsi="Verdana"/>
      <w:color w:val="0000FF"/>
      <w:sz w:val="20"/>
      <w:u w:val="single"/>
    </w:rPr>
  </w:style>
  <w:style w:type="character" w:styleId="FollowedHyperlink">
    <w:name w:val="FollowedHyperlink"/>
    <w:basedOn w:val="DefaultParagraphFont"/>
    <w:uiPriority w:val="99"/>
    <w:semiHidden/>
    <w:unhideWhenUsed/>
    <w:rsid w:val="00A03E87"/>
    <w:rPr>
      <w:color w:val="800080" w:themeColor="followedHyperlink"/>
      <w:u w:val="single"/>
    </w:rPr>
  </w:style>
  <w:style w:type="paragraph" w:styleId="Caption">
    <w:name w:val="caption"/>
    <w:aliases w:val="Caption Table"/>
    <w:next w:val="BodyText"/>
    <w:link w:val="CaptionChar"/>
    <w:qFormat/>
    <w:rsid w:val="00957E9B"/>
    <w:pPr>
      <w:keepNext/>
      <w:spacing w:before="120" w:after="90" w:line="240" w:lineRule="auto"/>
      <w:ind w:left="57"/>
    </w:pPr>
    <w:rPr>
      <w:rFonts w:ascii="Times New Roman Bold" w:eastAsia="Times New Roman" w:hAnsi="Times New Roman Bold" w:cs="Times New Roman"/>
      <w:bCs/>
      <w:sz w:val="24"/>
      <w:szCs w:val="20"/>
    </w:rPr>
  </w:style>
  <w:style w:type="table" w:styleId="TableGrid">
    <w:name w:val="Table Grid"/>
    <w:basedOn w:val="TableNormal"/>
    <w:uiPriority w:val="99"/>
    <w:rsid w:val="00957E9B"/>
    <w:pPr>
      <w:spacing w:after="18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Table Char"/>
    <w:link w:val="Caption"/>
    <w:rsid w:val="00957E9B"/>
    <w:rPr>
      <w:rFonts w:ascii="Times New Roman Bold" w:eastAsia="Times New Roman" w:hAnsi="Times New Roman Bold" w:cs="Times New Roman"/>
      <w:bCs/>
      <w:sz w:val="24"/>
      <w:szCs w:val="20"/>
    </w:rPr>
  </w:style>
  <w:style w:type="table" w:customStyle="1" w:styleId="TableGrid1">
    <w:name w:val="Table Grid1"/>
    <w:basedOn w:val="TableNormal"/>
    <w:next w:val="TableGrid"/>
    <w:rsid w:val="00E85BBF"/>
    <w:pPr>
      <w:spacing w:after="18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addressing-chemicals-of-concern/substances-of-potential-concern/svhc-roadmap-to-2020-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HADocumentTypeTaxHTField0 xmlns="4811b924-dee2-413a-bdc8-2cc023473c17">
      <Terms xmlns="http://schemas.microsoft.com/office/infopath/2007/PartnerControls"/>
    </ECHADocumentTypeTaxHTField0>
    <ECHACategoryTaxHTField0 xmlns="4811b924-dee2-413a-bdc8-2cc023473c17">
      <Terms xmlns="http://schemas.microsoft.com/office/infopath/2007/PartnerControls"/>
    </ECHACategoryTaxHTField0>
    <ECHAProcessTaxHTField0 xmlns="4811b924-dee2-413a-bdc8-2cc023473c17">
      <Terms xmlns="http://schemas.microsoft.com/office/infopath/2007/PartnerControls">
        <TermInfo xmlns="http://schemas.microsoft.com/office/infopath/2007/PartnerControls">
          <TermName xmlns="http://schemas.microsoft.com/office/infopath/2007/PartnerControls">03.01 Preparation for Risk management</TermName>
          <TermId xmlns="http://schemas.microsoft.com/office/infopath/2007/PartnerControls">d80fe072-1fec-4844-8783-25e18f728697</TermId>
        </TermInfo>
      </Terms>
    </ECHAProcessTaxHTField0>
    <_dlc_DocId xmlns="b80ede5c-af4c-4bf2-9a87-706a3579dc11">ACTV3-10-9080</_dlc_DocId>
    <TaxCatchAll xmlns="b80ede5c-af4c-4bf2-9a87-706a3579dc11">
      <Value>2</Value>
      <Value>1</Value>
    </TaxCatchAll>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Url xmlns="b80ede5c-af4c-4bf2-9a87-706a3579dc11">
      <Url>https://activity.echa.europa.eu/sites/act-3/process-3-1/_layouts/DocIdRedir.aspx?ID=ACTV3-10-9080</Url>
      <Description>ACTV3-10-9080</Description>
    </_dlc_DocIdUrl>
  </documentManagement>
</p:properties>
</file>

<file path=customXml/item4.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5.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4ad06edc44e47dd803ed236971bd80b1">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B3E3-EBBC-4869-B4C1-04C930B5F05A}">
  <ds:schemaRefs>
    <ds:schemaRef ds:uri="http://schemas.microsoft.com/sharepoint/v3/contenttype/forms"/>
  </ds:schemaRefs>
</ds:datastoreItem>
</file>

<file path=customXml/itemProps2.xml><?xml version="1.0" encoding="utf-8"?>
<ds:datastoreItem xmlns:ds="http://schemas.openxmlformats.org/officeDocument/2006/customXml" ds:itemID="{04B0A82C-9F0F-4A45-B5C2-5C8C1C023A73}">
  <ds:schemaRefs>
    <ds:schemaRef ds:uri="http://schemas.microsoft.com/sharepoint/events"/>
  </ds:schemaRefs>
</ds:datastoreItem>
</file>

<file path=customXml/itemProps3.xml><?xml version="1.0" encoding="utf-8"?>
<ds:datastoreItem xmlns:ds="http://schemas.openxmlformats.org/officeDocument/2006/customXml" ds:itemID="{FB8C6060-E70E-4A37-913A-A00BF7D052E3}">
  <ds:schemaRefs>
    <ds:schemaRef ds:uri="http://schemas.microsoft.com/office/2006/metadata/properties"/>
    <ds:schemaRef ds:uri="http://schemas.microsoft.com/office/infopath/2007/PartnerControls"/>
    <ds:schemaRef ds:uri="4811b924-dee2-413a-bdc8-2cc023473c17"/>
    <ds:schemaRef ds:uri="b80ede5c-af4c-4bf2-9a87-706a3579dc11"/>
  </ds:schemaRefs>
</ds:datastoreItem>
</file>

<file path=customXml/itemProps4.xml><?xml version="1.0" encoding="utf-8"?>
<ds:datastoreItem xmlns:ds="http://schemas.openxmlformats.org/officeDocument/2006/customXml" ds:itemID="{9F44A4DA-6220-401F-9FBC-DBFBD929C8E3}">
  <ds:schemaRefs>
    <ds:schemaRef ds:uri="Microsoft.SharePoint.Taxonomy.ContentTypeSync"/>
  </ds:schemaRefs>
</ds:datastoreItem>
</file>

<file path=customXml/itemProps5.xml><?xml version="1.0" encoding="utf-8"?>
<ds:datastoreItem xmlns:ds="http://schemas.openxmlformats.org/officeDocument/2006/customXml" ds:itemID="{491B9FA1-F855-4497-8528-FF1A984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4C2BFF-A751-4D3C-8FD8-E00363F0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5269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Chemicals Agency</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CLENAGHAN Conor</dc:creator>
  <cp:lastModifiedBy>Sharon McNulty</cp:lastModifiedBy>
  <cp:revision>3</cp:revision>
  <cp:lastPrinted>2015-08-11T11:20:00Z</cp:lastPrinted>
  <dcterms:created xsi:type="dcterms:W3CDTF">2022-05-24T10:06:00Z</dcterms:created>
  <dcterms:modified xsi:type="dcterms:W3CDTF">2022-05-24T13:19:00Z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0x010100B558917389A54ADDB58930FBD7E6FD57008586DED9191B4C4CBD31A5DF7F304A71007808A1CA0E4EF14790F53ECF057752F5</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ies>
</file>