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3996" w14:textId="77777777" w:rsidR="00F57736" w:rsidRPr="003016DF" w:rsidRDefault="00E86372" w:rsidP="00F57736">
      <w:r>
        <w:rPr>
          <w:rFonts w:eastAsiaTheme="minorHAnsi"/>
          <w:noProof/>
          <w:szCs w:val="24"/>
          <w:lang w:val="de-AT" w:eastAsia="de-AT"/>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0A908E80" w:rsidR="00F57736" w:rsidRPr="003016DF" w:rsidRDefault="00E26608" w:rsidP="00F57736">
      <w:r w:rsidRPr="00E3410F">
        <w:rPr>
          <w:noProof/>
          <w:color w:val="4F81BD" w:themeColor="accent1"/>
          <w:lang w:val="de-AT" w:eastAsia="de-AT"/>
        </w:rPr>
        <w:drawing>
          <wp:anchor distT="0" distB="0" distL="114300" distR="114300" simplePos="0" relativeHeight="251661312" behindDoc="1" locked="0" layoutInCell="1" allowOverlap="1" wp14:anchorId="5321B99F" wp14:editId="08CFBD09">
            <wp:simplePos x="0" y="0"/>
            <wp:positionH relativeFrom="margin">
              <wp:posOffset>3105150</wp:posOffset>
            </wp:positionH>
            <wp:positionV relativeFrom="paragraph">
              <wp:posOffset>29210</wp:posOffset>
            </wp:positionV>
            <wp:extent cx="2285365" cy="819150"/>
            <wp:effectExtent l="0" t="0" r="635" b="0"/>
            <wp:wrapTight wrapText="bothSides">
              <wp:wrapPolygon edited="0">
                <wp:start x="0" y="0"/>
                <wp:lineTo x="0" y="21098"/>
                <wp:lineTo x="21426" y="21098"/>
                <wp:lineTo x="21426" y="0"/>
                <wp:lineTo x="0" y="0"/>
              </wp:wrapPolygon>
            </wp:wrapTight>
            <wp:docPr id="3" name="Grafik 3" descr="C:\Users\mauritz\Desktop\B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itz\Desktop\BMK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53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5399B" w14:textId="77777777" w:rsidR="00F57736" w:rsidRPr="003016DF" w:rsidRDefault="00F57736" w:rsidP="00F57736"/>
    <w:p w14:paraId="6835399C" w14:textId="6CC25E51" w:rsidR="00F57736" w:rsidRPr="003016DF" w:rsidRDefault="00F57736" w:rsidP="00F57736">
      <w:pPr>
        <w:jc w:val="center"/>
        <w:rPr>
          <w:b/>
          <w:sz w:val="28"/>
          <w:szCs w:val="28"/>
        </w:rPr>
      </w:pPr>
    </w:p>
    <w:p w14:paraId="6835399D" w14:textId="6C4ABF0F"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Textkrper"/>
        <w:rPr>
          <w:b/>
        </w:rPr>
      </w:pPr>
    </w:p>
    <w:p w14:paraId="683539A4" w14:textId="76B5F9CC" w:rsidR="00E86372" w:rsidRPr="00937276" w:rsidRDefault="00E86372" w:rsidP="00E86372">
      <w:pPr>
        <w:pStyle w:val="Textkrper"/>
      </w:pPr>
      <w:r>
        <w:rPr>
          <w:b/>
        </w:rPr>
        <w:t>Substance Name</w:t>
      </w:r>
      <w:r w:rsidRPr="003607CA">
        <w:rPr>
          <w:b/>
        </w:rPr>
        <w:t>:</w:t>
      </w:r>
      <w:r w:rsidR="00E26608" w:rsidRPr="00E26608">
        <w:t xml:space="preserve"> </w:t>
      </w:r>
      <w:proofErr w:type="spellStart"/>
      <w:proofErr w:type="gramStart"/>
      <w:r w:rsidR="00E26608" w:rsidRPr="00C2160F">
        <w:t>Tris</w:t>
      </w:r>
      <w:proofErr w:type="spellEnd"/>
      <w:r w:rsidR="00E26608" w:rsidRPr="00C2160F">
        <w:t>(</w:t>
      </w:r>
      <w:proofErr w:type="gramEnd"/>
      <w:r w:rsidR="00E26608" w:rsidRPr="00C2160F">
        <w:t>2-methoxyethoxy)</w:t>
      </w:r>
      <w:proofErr w:type="spellStart"/>
      <w:r w:rsidR="00E26608" w:rsidRPr="00C2160F">
        <w:t>vinylsilane</w:t>
      </w:r>
      <w:proofErr w:type="spellEnd"/>
    </w:p>
    <w:p w14:paraId="683539A5" w14:textId="60A02D40" w:rsidR="00E86372" w:rsidRPr="00937276" w:rsidRDefault="00E86372" w:rsidP="00E86372">
      <w:pPr>
        <w:pStyle w:val="Textkrper"/>
      </w:pPr>
      <w:r w:rsidRPr="003607CA">
        <w:rPr>
          <w:b/>
        </w:rPr>
        <w:t>EC Number:</w:t>
      </w:r>
      <w:r w:rsidR="00E26608">
        <w:rPr>
          <w:b/>
        </w:rPr>
        <w:t xml:space="preserve"> </w:t>
      </w:r>
      <w:r w:rsidR="00E26608" w:rsidRPr="00C2160F">
        <w:t>213-934-0</w:t>
      </w:r>
    </w:p>
    <w:p w14:paraId="683539A6" w14:textId="70B2949F" w:rsidR="00E86372" w:rsidRPr="00937276" w:rsidRDefault="00E86372" w:rsidP="00E86372">
      <w:pPr>
        <w:pStyle w:val="Textkrper"/>
        <w:rPr>
          <w:sz w:val="32"/>
        </w:rPr>
      </w:pPr>
      <w:r w:rsidRPr="003607CA">
        <w:rPr>
          <w:b/>
        </w:rPr>
        <w:t>CAS Number:</w:t>
      </w:r>
      <w:r w:rsidR="00E26608">
        <w:rPr>
          <w:b/>
        </w:rPr>
        <w:t xml:space="preserve"> </w:t>
      </w:r>
      <w:r w:rsidR="00E26608" w:rsidRPr="00C2160F">
        <w:t>1067-53-4</w:t>
      </w:r>
    </w:p>
    <w:p w14:paraId="683539A7" w14:textId="77777777" w:rsidR="00E86372" w:rsidRDefault="00E86372" w:rsidP="00E86372">
      <w:pPr>
        <w:pStyle w:val="Textkrper"/>
        <w:rPr>
          <w:b/>
          <w:sz w:val="32"/>
        </w:rPr>
      </w:pPr>
    </w:p>
    <w:p w14:paraId="683539A8" w14:textId="01BD58D3" w:rsidR="00E86372" w:rsidRDefault="00E86372" w:rsidP="00E86372">
      <w:pPr>
        <w:pStyle w:val="Textkrper"/>
        <w:rPr>
          <w:b/>
          <w:sz w:val="32"/>
        </w:rPr>
      </w:pPr>
      <w:r w:rsidRPr="006119A2">
        <w:rPr>
          <w:b/>
        </w:rPr>
        <w:t>Authority:</w:t>
      </w:r>
      <w:r w:rsidR="00E26608">
        <w:rPr>
          <w:b/>
        </w:rPr>
        <w:t xml:space="preserve"> </w:t>
      </w:r>
      <w:r w:rsidR="00E26608" w:rsidRPr="00A45A24">
        <w:t>Austria</w:t>
      </w:r>
    </w:p>
    <w:p w14:paraId="683539A9" w14:textId="798B1548" w:rsidR="00E86372" w:rsidRDefault="00E86372" w:rsidP="00E86372">
      <w:pPr>
        <w:pStyle w:val="Textkrper"/>
        <w:rPr>
          <w:b/>
        </w:rPr>
      </w:pPr>
      <w:r w:rsidRPr="003607CA">
        <w:rPr>
          <w:b/>
        </w:rPr>
        <w:t>Date:</w:t>
      </w:r>
      <w:r w:rsidR="00E26608" w:rsidRPr="00E26608">
        <w:t xml:space="preserve"> </w:t>
      </w:r>
      <w:r w:rsidR="00E26608">
        <w:t>June</w:t>
      </w:r>
      <w:r w:rsidR="00E26608" w:rsidRPr="00A45A24">
        <w:t>, 20</w:t>
      </w:r>
      <w:r w:rsidR="00E26608">
        <w:t>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footerReference w:type="default" r:id="rId15"/>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Textkrper"/>
        <w:jc w:val="center"/>
      </w:pPr>
    </w:p>
    <w:p w14:paraId="683539B6" w14:textId="77777777" w:rsidR="00AD40AE" w:rsidRDefault="00AD40AE" w:rsidP="00AD40AE">
      <w:pPr>
        <w:pStyle w:val="Textkrper"/>
        <w:jc w:val="center"/>
      </w:pPr>
    </w:p>
    <w:p w14:paraId="683539B7" w14:textId="183D0041" w:rsidR="007A39FF" w:rsidRDefault="007A39FF" w:rsidP="007A39FF">
      <w:pPr>
        <w:pStyle w:val="Textkrper"/>
      </w:pPr>
    </w:p>
    <w:p w14:paraId="683539BC" w14:textId="451BBF13" w:rsidR="007A39FF" w:rsidRDefault="001C1F13" w:rsidP="007A39FF">
      <w:pPr>
        <w:pStyle w:val="Textkrper"/>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Textkrper"/>
        <w:jc w:val="both"/>
        <w:sectPr w:rsidR="007A39FF" w:rsidRPr="00270FFE">
          <w:footerReference w:type="default" r:id="rId16"/>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berschrift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unotenzeichen"/>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berschrift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tbl>
      <w:tblPr>
        <w:tblStyle w:val="Tabellenraster"/>
        <w:tblW w:w="0" w:type="auto"/>
        <w:tblLayout w:type="fixed"/>
        <w:tblLook w:val="04A0" w:firstRow="1" w:lastRow="0" w:firstColumn="1" w:lastColumn="0" w:noHBand="0" w:noVBand="1"/>
      </w:tblPr>
      <w:tblGrid>
        <w:gridCol w:w="1384"/>
        <w:gridCol w:w="1134"/>
        <w:gridCol w:w="5812"/>
      </w:tblGrid>
      <w:tr w:rsidR="00E7554F" w:rsidRPr="00DC3C42" w14:paraId="6F9E7C12" w14:textId="77777777" w:rsidTr="00D75192">
        <w:trPr>
          <w:cantSplit/>
          <w:trHeight w:val="901"/>
        </w:trPr>
        <w:tc>
          <w:tcPr>
            <w:tcW w:w="1384" w:type="dxa"/>
            <w:textDirection w:val="btLr"/>
            <w:vAlign w:val="center"/>
          </w:tcPr>
          <w:p w14:paraId="3AE36297" w14:textId="77777777" w:rsidR="00E7554F" w:rsidRPr="00D06EB3" w:rsidRDefault="00E7554F" w:rsidP="00D75192">
            <w:pPr>
              <w:pStyle w:val="Textkrper"/>
              <w:spacing w:before="120" w:after="0"/>
              <w:ind w:left="113" w:right="113"/>
              <w:jc w:val="center"/>
            </w:pPr>
            <w:r>
              <w:t>RMOA</w:t>
            </w:r>
          </w:p>
        </w:tc>
        <w:tc>
          <w:tcPr>
            <w:tcW w:w="1134" w:type="dxa"/>
            <w:tcBorders>
              <w:right w:val="nil"/>
            </w:tcBorders>
            <w:shd w:val="clear" w:color="auto" w:fill="auto"/>
            <w:textDirection w:val="btLr"/>
            <w:vAlign w:val="center"/>
          </w:tcPr>
          <w:p w14:paraId="404A17FE" w14:textId="77777777" w:rsidR="00E7554F" w:rsidRPr="009845E0" w:rsidRDefault="00E7554F" w:rsidP="00D75192">
            <w:pPr>
              <w:pStyle w:val="Textkrper"/>
              <w:spacing w:before="120" w:after="0"/>
              <w:ind w:left="113" w:right="113"/>
              <w:jc w:val="center"/>
            </w:pPr>
          </w:p>
        </w:tc>
        <w:tc>
          <w:tcPr>
            <w:tcW w:w="5812" w:type="dxa"/>
            <w:tcBorders>
              <w:left w:val="nil"/>
            </w:tcBorders>
            <w:shd w:val="clear" w:color="auto" w:fill="auto"/>
            <w:vAlign w:val="center"/>
          </w:tcPr>
          <w:p w14:paraId="75873CA5" w14:textId="77777777" w:rsidR="00E7554F" w:rsidRDefault="004B4C19" w:rsidP="00D75192">
            <w:pPr>
              <w:pStyle w:val="Textkrper"/>
              <w:spacing w:before="120" w:after="0"/>
              <w:ind w:left="317" w:hanging="317"/>
            </w:pPr>
            <w:sdt>
              <w:sdtPr>
                <w:rPr>
                  <w:szCs w:val="24"/>
                </w:rPr>
                <w:id w:val="1902332067"/>
                <w14:checkbox>
                  <w14:checked w14:val="1"/>
                  <w14:checkedState w14:val="2612" w14:font="MS Gothic"/>
                  <w14:uncheckedState w14:val="2610" w14:font="MS Gothic"/>
                </w14:checkbox>
              </w:sdtPr>
              <w:sdtEndPr/>
              <w:sdtContent>
                <w:r w:rsidR="00E7554F">
                  <w:rPr>
                    <w:rFonts w:ascii="MS Gothic" w:eastAsia="MS Gothic" w:hAnsi="MS Gothic" w:cs="MS Gothic" w:hint="eastAsia"/>
                    <w:szCs w:val="24"/>
                  </w:rPr>
                  <w:t>☒</w:t>
                </w:r>
              </w:sdtContent>
            </w:sdt>
            <w:r w:rsidR="00E7554F" w:rsidRPr="00404EE1">
              <w:t xml:space="preserve"> </w:t>
            </w:r>
            <w:r w:rsidR="00E7554F">
              <w:t>Risk Manage</w:t>
            </w:r>
            <w:r w:rsidR="00E7554F" w:rsidRPr="00C220E5">
              <w:t xml:space="preserve">ment Option Analysis </w:t>
            </w:r>
            <w:r w:rsidR="00E7554F">
              <w:t>(RMOA) other than this RMOA</w:t>
            </w:r>
          </w:p>
          <w:p w14:paraId="602E69D2" w14:textId="77777777" w:rsidR="00E7554F" w:rsidRPr="001B6539" w:rsidRDefault="00E7554F" w:rsidP="00D75192">
            <w:pPr>
              <w:pStyle w:val="Textkrper"/>
              <w:spacing w:before="120" w:after="0"/>
              <w:ind w:left="317" w:hanging="317"/>
              <w:rPr>
                <w:sz w:val="18"/>
                <w:szCs w:val="18"/>
              </w:rPr>
            </w:pPr>
            <w:r>
              <w:rPr>
                <w:rFonts w:eastAsia="MS Gothic" w:cs="MS Gothic"/>
                <w:sz w:val="18"/>
                <w:szCs w:val="18"/>
              </w:rPr>
              <w:t xml:space="preserve">Performed by </w:t>
            </w:r>
            <w:r w:rsidRPr="001B6539">
              <w:rPr>
                <w:rFonts w:eastAsia="MS Gothic" w:cs="MS Gothic"/>
                <w:sz w:val="18"/>
                <w:szCs w:val="18"/>
              </w:rPr>
              <w:t xml:space="preserve">ECHA on behalf of the </w:t>
            </w:r>
            <w:r>
              <w:rPr>
                <w:rFonts w:eastAsia="MS Gothic" w:cs="MS Gothic"/>
                <w:sz w:val="18"/>
                <w:szCs w:val="18"/>
              </w:rPr>
              <w:t xml:space="preserve">European </w:t>
            </w:r>
            <w:r w:rsidRPr="001B6539">
              <w:rPr>
                <w:rFonts w:eastAsia="MS Gothic" w:cs="MS Gothic"/>
                <w:sz w:val="18"/>
                <w:szCs w:val="18"/>
              </w:rPr>
              <w:t>Commission</w:t>
            </w:r>
            <w:r>
              <w:rPr>
                <w:rFonts w:eastAsia="MS Gothic" w:cs="MS Gothic"/>
                <w:sz w:val="18"/>
                <w:szCs w:val="18"/>
              </w:rPr>
              <w:t xml:space="preserve">, </w:t>
            </w:r>
            <w:r w:rsidRPr="001B6539">
              <w:rPr>
                <w:rFonts w:eastAsia="MS Gothic" w:cs="MS Gothic"/>
                <w:sz w:val="18"/>
                <w:szCs w:val="18"/>
              </w:rPr>
              <w:t>based on an SVHC impurity</w:t>
            </w:r>
            <w:r>
              <w:rPr>
                <w:rFonts w:eastAsia="MS Gothic" w:cs="MS Gothic"/>
                <w:sz w:val="18"/>
                <w:szCs w:val="18"/>
              </w:rPr>
              <w:t xml:space="preserve"> (ECHA, 2016)</w:t>
            </w:r>
          </w:p>
        </w:tc>
      </w:tr>
      <w:tr w:rsidR="00E7554F" w:rsidRPr="00DC3C42" w14:paraId="44B95E25" w14:textId="77777777" w:rsidTr="00D75192">
        <w:trPr>
          <w:cantSplit/>
          <w:trHeight w:val="559"/>
        </w:trPr>
        <w:tc>
          <w:tcPr>
            <w:tcW w:w="1384" w:type="dxa"/>
            <w:vMerge w:val="restart"/>
            <w:textDirection w:val="btLr"/>
            <w:vAlign w:val="center"/>
          </w:tcPr>
          <w:p w14:paraId="2E0AB620" w14:textId="77777777" w:rsidR="00E7554F" w:rsidRPr="00D06EB3" w:rsidRDefault="00E7554F" w:rsidP="00D75192">
            <w:pPr>
              <w:pStyle w:val="Textkrper"/>
              <w:spacing w:before="120" w:after="0"/>
              <w:ind w:left="113" w:right="113"/>
              <w:jc w:val="center"/>
            </w:pPr>
            <w:r>
              <w:t>REACH</w:t>
            </w:r>
            <w:r w:rsidRPr="00D06EB3">
              <w:t xml:space="preserve"> Processes</w:t>
            </w:r>
          </w:p>
        </w:tc>
        <w:tc>
          <w:tcPr>
            <w:tcW w:w="1134" w:type="dxa"/>
            <w:vMerge w:val="restart"/>
            <w:textDirection w:val="btLr"/>
            <w:vAlign w:val="center"/>
          </w:tcPr>
          <w:p w14:paraId="6BF9BF91" w14:textId="77777777" w:rsidR="00E7554F" w:rsidRPr="009845E0" w:rsidRDefault="00E7554F" w:rsidP="00D75192">
            <w:pPr>
              <w:pStyle w:val="Textkrper"/>
              <w:spacing w:before="120" w:after="0"/>
              <w:ind w:left="113" w:right="113"/>
              <w:jc w:val="center"/>
            </w:pPr>
            <w:r w:rsidRPr="00E813C2">
              <w:t>Evaluation</w:t>
            </w:r>
          </w:p>
        </w:tc>
        <w:tc>
          <w:tcPr>
            <w:tcW w:w="5812" w:type="dxa"/>
            <w:vAlign w:val="center"/>
          </w:tcPr>
          <w:p w14:paraId="673704A0" w14:textId="77777777" w:rsidR="00E7554F" w:rsidRPr="00404EE1" w:rsidRDefault="004B4C19" w:rsidP="00D75192">
            <w:pPr>
              <w:pStyle w:val="Textkrper"/>
              <w:spacing w:before="120" w:after="0"/>
            </w:pPr>
            <w:sdt>
              <w:sdtPr>
                <w:rPr>
                  <w:szCs w:val="24"/>
                </w:rPr>
                <w:id w:val="1618794995"/>
                <w14:checkbox>
                  <w14:checked w14:val="0"/>
                  <w14:checkedState w14:val="2612" w14:font="MS Gothic"/>
                  <w14:uncheckedState w14:val="2610" w14:font="MS Gothic"/>
                </w14:checkbox>
              </w:sdtPr>
              <w:sdtEndPr/>
              <w:sdtContent>
                <w:r w:rsidR="00E7554F" w:rsidRPr="005C7C49">
                  <w:rPr>
                    <w:rFonts w:ascii="MS Gothic" w:eastAsia="MS Gothic" w:hAnsi="MS Gothic" w:cs="MS Gothic" w:hint="eastAsia"/>
                    <w:szCs w:val="24"/>
                  </w:rPr>
                  <w:t>☐</w:t>
                </w:r>
              </w:sdtContent>
            </w:sdt>
            <w:r w:rsidR="00E7554F" w:rsidRPr="00404EE1">
              <w:t xml:space="preserve"> Compliance check, Final decision</w:t>
            </w:r>
          </w:p>
        </w:tc>
      </w:tr>
      <w:tr w:rsidR="00E7554F" w:rsidRPr="00DC3C42" w14:paraId="73B4ED15" w14:textId="77777777" w:rsidTr="00D75192">
        <w:trPr>
          <w:cantSplit/>
          <w:trHeight w:val="553"/>
        </w:trPr>
        <w:tc>
          <w:tcPr>
            <w:tcW w:w="1384" w:type="dxa"/>
            <w:vMerge/>
            <w:textDirection w:val="btLr"/>
            <w:vAlign w:val="center"/>
          </w:tcPr>
          <w:p w14:paraId="165D7A20" w14:textId="77777777" w:rsidR="00E7554F" w:rsidRPr="00D06EB3" w:rsidRDefault="00E7554F" w:rsidP="00D75192">
            <w:pPr>
              <w:pStyle w:val="Textkrper"/>
              <w:spacing w:before="120" w:after="0"/>
              <w:ind w:left="113" w:right="113"/>
              <w:jc w:val="center"/>
            </w:pPr>
          </w:p>
        </w:tc>
        <w:tc>
          <w:tcPr>
            <w:tcW w:w="1134" w:type="dxa"/>
            <w:vMerge/>
            <w:textDirection w:val="btLr"/>
            <w:vAlign w:val="center"/>
          </w:tcPr>
          <w:p w14:paraId="1B22D872" w14:textId="77777777" w:rsidR="00E7554F" w:rsidRPr="009845E0" w:rsidRDefault="00E7554F" w:rsidP="00D75192">
            <w:pPr>
              <w:pStyle w:val="Textkrper"/>
              <w:spacing w:before="120" w:after="0"/>
              <w:ind w:left="113" w:right="113"/>
              <w:jc w:val="center"/>
            </w:pPr>
          </w:p>
        </w:tc>
        <w:tc>
          <w:tcPr>
            <w:tcW w:w="5812" w:type="dxa"/>
            <w:vAlign w:val="center"/>
          </w:tcPr>
          <w:p w14:paraId="22D65772" w14:textId="77777777" w:rsidR="00E7554F" w:rsidRDefault="004B4C19" w:rsidP="00D75192">
            <w:pPr>
              <w:pStyle w:val="Textkrper"/>
              <w:spacing w:before="120" w:after="0"/>
            </w:pPr>
            <w:sdt>
              <w:sdtPr>
                <w:rPr>
                  <w:szCs w:val="24"/>
                </w:rPr>
                <w:id w:val="-555246610"/>
                <w14:checkbox>
                  <w14:checked w14:val="1"/>
                  <w14:checkedState w14:val="2612" w14:font="MS Gothic"/>
                  <w14:uncheckedState w14:val="2610" w14:font="MS Gothic"/>
                </w14:checkbox>
              </w:sdtPr>
              <w:sdtEndPr/>
              <w:sdtContent>
                <w:r w:rsidR="00E7554F">
                  <w:rPr>
                    <w:rFonts w:ascii="MS Gothic" w:eastAsia="MS Gothic" w:hAnsi="MS Gothic" w:hint="eastAsia"/>
                    <w:szCs w:val="24"/>
                  </w:rPr>
                  <w:t>☒</w:t>
                </w:r>
              </w:sdtContent>
            </w:sdt>
            <w:r w:rsidR="00E7554F" w:rsidRPr="00404EE1">
              <w:t xml:space="preserve"> Testing proposal</w:t>
            </w:r>
          </w:p>
          <w:p w14:paraId="13E57593" w14:textId="77777777" w:rsidR="00E7554F" w:rsidRDefault="00E7554F" w:rsidP="00D75192">
            <w:pPr>
              <w:pStyle w:val="Textkrper"/>
              <w:spacing w:before="120" w:after="0"/>
              <w:rPr>
                <w:sz w:val="18"/>
                <w:szCs w:val="18"/>
              </w:rPr>
            </w:pPr>
            <w:r w:rsidRPr="00395281">
              <w:rPr>
                <w:sz w:val="18"/>
                <w:szCs w:val="18"/>
              </w:rPr>
              <w:t>ECHA</w:t>
            </w:r>
            <w:r>
              <w:rPr>
                <w:sz w:val="18"/>
                <w:szCs w:val="18"/>
              </w:rPr>
              <w:t xml:space="preserve"> has issued a testing proposal </w:t>
            </w:r>
            <w:r w:rsidRPr="00395281">
              <w:rPr>
                <w:sz w:val="18"/>
                <w:szCs w:val="18"/>
              </w:rPr>
              <w:t>decision for</w:t>
            </w:r>
            <w:r>
              <w:rPr>
                <w:sz w:val="18"/>
                <w:szCs w:val="18"/>
              </w:rPr>
              <w:t xml:space="preserve"> </w:t>
            </w:r>
            <w:proofErr w:type="spellStart"/>
            <w:proofErr w:type="gramStart"/>
            <w:r>
              <w:rPr>
                <w:sz w:val="18"/>
                <w:szCs w:val="18"/>
              </w:rPr>
              <w:t>t</w:t>
            </w:r>
            <w:r w:rsidRPr="00395281">
              <w:rPr>
                <w:sz w:val="18"/>
                <w:szCs w:val="18"/>
              </w:rPr>
              <w:t>ris</w:t>
            </w:r>
            <w:proofErr w:type="spellEnd"/>
            <w:r w:rsidRPr="00395281">
              <w:rPr>
                <w:sz w:val="18"/>
                <w:szCs w:val="18"/>
              </w:rPr>
              <w:t>(</w:t>
            </w:r>
            <w:proofErr w:type="gramEnd"/>
            <w:r w:rsidRPr="00395281">
              <w:rPr>
                <w:sz w:val="18"/>
                <w:szCs w:val="18"/>
              </w:rPr>
              <w:t>2-methoxyethoxy)</w:t>
            </w:r>
            <w:proofErr w:type="spellStart"/>
            <w:r w:rsidRPr="00395281">
              <w:rPr>
                <w:sz w:val="18"/>
                <w:szCs w:val="18"/>
              </w:rPr>
              <w:t>vinylsilane</w:t>
            </w:r>
            <w:proofErr w:type="spellEnd"/>
            <w:r>
              <w:rPr>
                <w:sz w:val="18"/>
                <w:szCs w:val="18"/>
              </w:rPr>
              <w:t xml:space="preserve"> (see below).</w:t>
            </w:r>
          </w:p>
          <w:p w14:paraId="64DC54FA" w14:textId="77777777" w:rsidR="00E7554F" w:rsidRPr="00404EE1" w:rsidRDefault="00E7554F" w:rsidP="00D75192">
            <w:pPr>
              <w:pStyle w:val="Textkrper"/>
              <w:spacing w:before="120" w:after="0"/>
            </w:pPr>
          </w:p>
        </w:tc>
      </w:tr>
      <w:tr w:rsidR="00E7554F" w:rsidRPr="00DC3C42" w14:paraId="0AFB0DD6" w14:textId="77777777" w:rsidTr="00D75192">
        <w:trPr>
          <w:cantSplit/>
          <w:trHeight w:val="561"/>
        </w:trPr>
        <w:tc>
          <w:tcPr>
            <w:tcW w:w="1384" w:type="dxa"/>
            <w:vMerge/>
            <w:textDirection w:val="btLr"/>
            <w:vAlign w:val="center"/>
          </w:tcPr>
          <w:p w14:paraId="7EF83EE7" w14:textId="77777777" w:rsidR="00E7554F" w:rsidRPr="00D06EB3" w:rsidRDefault="00E7554F" w:rsidP="00D75192">
            <w:pPr>
              <w:pStyle w:val="Textkrper"/>
              <w:spacing w:before="120" w:after="0"/>
              <w:ind w:left="113" w:right="113"/>
              <w:jc w:val="center"/>
            </w:pPr>
          </w:p>
        </w:tc>
        <w:tc>
          <w:tcPr>
            <w:tcW w:w="1134" w:type="dxa"/>
            <w:vMerge/>
            <w:textDirection w:val="btLr"/>
            <w:vAlign w:val="center"/>
          </w:tcPr>
          <w:p w14:paraId="149222ED" w14:textId="77777777" w:rsidR="00E7554F" w:rsidRPr="009845E0" w:rsidRDefault="00E7554F" w:rsidP="00D75192">
            <w:pPr>
              <w:pStyle w:val="Textkrper"/>
              <w:spacing w:before="120" w:after="0"/>
              <w:ind w:left="113" w:right="113"/>
              <w:jc w:val="center"/>
            </w:pPr>
          </w:p>
        </w:tc>
        <w:tc>
          <w:tcPr>
            <w:tcW w:w="5812" w:type="dxa"/>
            <w:vAlign w:val="center"/>
          </w:tcPr>
          <w:p w14:paraId="45528D14" w14:textId="77777777" w:rsidR="00E7554F" w:rsidRPr="00404EE1" w:rsidRDefault="004B4C19" w:rsidP="00D75192">
            <w:pPr>
              <w:pStyle w:val="Textkrper"/>
              <w:spacing w:before="120" w:after="0"/>
            </w:pPr>
            <w:sdt>
              <w:sdtPr>
                <w:rPr>
                  <w:szCs w:val="24"/>
                </w:rPr>
                <w:id w:val="1708519159"/>
                <w14:checkbox>
                  <w14:checked w14:val="0"/>
                  <w14:checkedState w14:val="2612" w14:font="MS Gothic"/>
                  <w14:uncheckedState w14:val="2610" w14:font="MS Gothic"/>
                </w14:checkbox>
              </w:sdtPr>
              <w:sdtEndPr/>
              <w:sdtContent>
                <w:r w:rsidR="00E7554F" w:rsidRPr="005C7C49">
                  <w:rPr>
                    <w:rFonts w:ascii="MS Gothic" w:eastAsia="MS Gothic" w:hAnsi="MS Gothic" w:cs="MS Gothic" w:hint="eastAsia"/>
                    <w:szCs w:val="24"/>
                  </w:rPr>
                  <w:t>☐</w:t>
                </w:r>
              </w:sdtContent>
            </w:sdt>
            <w:r w:rsidR="00E7554F" w:rsidRPr="00404EE1">
              <w:t xml:space="preserve"> </w:t>
            </w:r>
            <w:proofErr w:type="spellStart"/>
            <w:r w:rsidR="00E7554F">
              <w:t>CoRAP</w:t>
            </w:r>
            <w:proofErr w:type="spellEnd"/>
            <w:r w:rsidR="00E7554F">
              <w:t xml:space="preserve"> and Substance Evaluation</w:t>
            </w:r>
          </w:p>
        </w:tc>
      </w:tr>
      <w:tr w:rsidR="00E7554F" w:rsidRPr="00DC3C42" w14:paraId="73ACA655" w14:textId="77777777" w:rsidTr="00D75192">
        <w:trPr>
          <w:cantSplit/>
          <w:trHeight w:val="838"/>
        </w:trPr>
        <w:tc>
          <w:tcPr>
            <w:tcW w:w="1384" w:type="dxa"/>
            <w:vMerge/>
            <w:textDirection w:val="btLr"/>
            <w:vAlign w:val="center"/>
          </w:tcPr>
          <w:p w14:paraId="5C4E8EDA" w14:textId="77777777" w:rsidR="00E7554F" w:rsidRPr="00D06EB3" w:rsidRDefault="00E7554F" w:rsidP="00D75192">
            <w:pPr>
              <w:pStyle w:val="Textkrper"/>
              <w:spacing w:before="120" w:after="0"/>
              <w:ind w:left="113" w:right="113"/>
              <w:jc w:val="center"/>
            </w:pPr>
          </w:p>
        </w:tc>
        <w:tc>
          <w:tcPr>
            <w:tcW w:w="1134" w:type="dxa"/>
            <w:vMerge w:val="restart"/>
            <w:textDirection w:val="btLr"/>
            <w:vAlign w:val="center"/>
          </w:tcPr>
          <w:p w14:paraId="4CCB1F4E" w14:textId="77777777" w:rsidR="00E7554F" w:rsidRPr="00D06EB3" w:rsidRDefault="00E7554F" w:rsidP="00D75192">
            <w:pPr>
              <w:pStyle w:val="Textkrper"/>
              <w:spacing w:before="120" w:after="0"/>
              <w:ind w:left="113" w:right="113"/>
              <w:jc w:val="center"/>
            </w:pPr>
            <w:r w:rsidRPr="009845E0">
              <w:t>Authori</w:t>
            </w:r>
            <w:r>
              <w:t>s</w:t>
            </w:r>
            <w:r w:rsidRPr="009845E0">
              <w:t>ation</w:t>
            </w:r>
          </w:p>
        </w:tc>
        <w:tc>
          <w:tcPr>
            <w:tcW w:w="5812" w:type="dxa"/>
            <w:vAlign w:val="center"/>
          </w:tcPr>
          <w:p w14:paraId="277CD292" w14:textId="77777777" w:rsidR="00E7554F" w:rsidRPr="00951C67" w:rsidRDefault="004B4C19" w:rsidP="00D75192">
            <w:pPr>
              <w:pStyle w:val="Textkrper"/>
              <w:spacing w:before="120" w:after="0"/>
            </w:pPr>
            <w:sdt>
              <w:sdtPr>
                <w:rPr>
                  <w:szCs w:val="24"/>
                </w:rPr>
                <w:id w:val="-1573199791"/>
                <w14:checkbox>
                  <w14:checked w14:val="0"/>
                  <w14:checkedState w14:val="2612" w14:font="MS Gothic"/>
                  <w14:uncheckedState w14:val="2610" w14:font="MS Gothic"/>
                </w14:checkbox>
              </w:sdtPr>
              <w:sdtEndPr/>
              <w:sdtContent>
                <w:r w:rsidR="00E7554F" w:rsidRPr="00951C67">
                  <w:rPr>
                    <w:rFonts w:ascii="MS Gothic" w:eastAsia="MS Gothic" w:hAnsi="MS Gothic" w:hint="eastAsia"/>
                    <w:szCs w:val="24"/>
                  </w:rPr>
                  <w:t>☐</w:t>
                </w:r>
              </w:sdtContent>
            </w:sdt>
            <w:r w:rsidR="00E7554F" w:rsidRPr="00951C67">
              <w:t xml:space="preserve"> Candidate List</w:t>
            </w:r>
          </w:p>
          <w:p w14:paraId="7AA6FFB4" w14:textId="77777777" w:rsidR="00E7554F" w:rsidRPr="00951C67" w:rsidRDefault="00E7554F" w:rsidP="00D75192">
            <w:pPr>
              <w:pStyle w:val="Textkrper"/>
              <w:spacing w:before="120" w:after="0"/>
              <w:rPr>
                <w:sz w:val="18"/>
                <w:szCs w:val="18"/>
              </w:rPr>
            </w:pPr>
          </w:p>
        </w:tc>
      </w:tr>
      <w:tr w:rsidR="00E7554F" w:rsidRPr="00DC3C42" w14:paraId="718166DA" w14:textId="77777777" w:rsidTr="00D75192">
        <w:trPr>
          <w:cantSplit/>
          <w:trHeight w:val="838"/>
        </w:trPr>
        <w:tc>
          <w:tcPr>
            <w:tcW w:w="1384" w:type="dxa"/>
            <w:vMerge/>
            <w:textDirection w:val="btLr"/>
            <w:vAlign w:val="center"/>
          </w:tcPr>
          <w:p w14:paraId="4175F427" w14:textId="77777777" w:rsidR="00E7554F" w:rsidRPr="00D06EB3" w:rsidRDefault="00E7554F" w:rsidP="00D75192">
            <w:pPr>
              <w:pStyle w:val="Textkrper"/>
              <w:spacing w:before="120" w:after="0"/>
              <w:ind w:left="113" w:right="113"/>
              <w:jc w:val="center"/>
            </w:pPr>
          </w:p>
        </w:tc>
        <w:tc>
          <w:tcPr>
            <w:tcW w:w="1134" w:type="dxa"/>
            <w:vMerge/>
            <w:textDirection w:val="btLr"/>
            <w:vAlign w:val="center"/>
          </w:tcPr>
          <w:p w14:paraId="65245DF3" w14:textId="77777777" w:rsidR="00E7554F" w:rsidRPr="00D06EB3" w:rsidRDefault="00E7554F" w:rsidP="00D75192">
            <w:pPr>
              <w:pStyle w:val="Textkrper"/>
              <w:spacing w:before="120" w:after="0"/>
              <w:ind w:left="113" w:right="113"/>
              <w:jc w:val="center"/>
            </w:pPr>
          </w:p>
        </w:tc>
        <w:tc>
          <w:tcPr>
            <w:tcW w:w="5812" w:type="dxa"/>
            <w:vAlign w:val="center"/>
          </w:tcPr>
          <w:p w14:paraId="3F350EB1" w14:textId="77777777" w:rsidR="00E7554F" w:rsidRPr="00951C67" w:rsidRDefault="004B4C19" w:rsidP="00D75192">
            <w:pPr>
              <w:pStyle w:val="Textkrper"/>
              <w:spacing w:before="120" w:after="0"/>
            </w:pPr>
            <w:sdt>
              <w:sdtPr>
                <w:rPr>
                  <w:szCs w:val="24"/>
                </w:rPr>
                <w:id w:val="-305165667"/>
                <w14:checkbox>
                  <w14:checked w14:val="0"/>
                  <w14:checkedState w14:val="2612" w14:font="MS Gothic"/>
                  <w14:uncheckedState w14:val="2610" w14:font="MS Gothic"/>
                </w14:checkbox>
              </w:sdtPr>
              <w:sdtEndPr/>
              <w:sdtContent>
                <w:r w:rsidR="00E7554F" w:rsidRPr="00951C67">
                  <w:rPr>
                    <w:rFonts w:ascii="MS Gothic" w:eastAsia="MS Gothic" w:hAnsi="MS Gothic" w:cs="MS Gothic" w:hint="eastAsia"/>
                    <w:szCs w:val="24"/>
                  </w:rPr>
                  <w:t>☐</w:t>
                </w:r>
              </w:sdtContent>
            </w:sdt>
            <w:r w:rsidR="00E7554F" w:rsidRPr="00951C67">
              <w:t xml:space="preserve"> Annex XIV </w:t>
            </w:r>
          </w:p>
        </w:tc>
      </w:tr>
      <w:tr w:rsidR="00E7554F" w:rsidRPr="00DC3C42" w14:paraId="4A8C1F53" w14:textId="77777777" w:rsidTr="00D75192">
        <w:trPr>
          <w:cantSplit/>
          <w:trHeight w:val="1391"/>
        </w:trPr>
        <w:tc>
          <w:tcPr>
            <w:tcW w:w="1384" w:type="dxa"/>
            <w:vMerge/>
            <w:textDirection w:val="btLr"/>
            <w:vAlign w:val="center"/>
          </w:tcPr>
          <w:p w14:paraId="0C53AF23" w14:textId="77777777" w:rsidR="00E7554F" w:rsidRPr="00D06EB3" w:rsidRDefault="00E7554F" w:rsidP="00D75192">
            <w:pPr>
              <w:pStyle w:val="Textkrper"/>
              <w:spacing w:before="120" w:after="0"/>
              <w:ind w:left="113" w:right="113"/>
              <w:jc w:val="center"/>
            </w:pPr>
          </w:p>
        </w:tc>
        <w:tc>
          <w:tcPr>
            <w:tcW w:w="1134" w:type="dxa"/>
            <w:tcBorders>
              <w:bottom w:val="single" w:sz="4" w:space="0" w:color="auto"/>
            </w:tcBorders>
            <w:textDirection w:val="btLr"/>
            <w:vAlign w:val="center"/>
          </w:tcPr>
          <w:p w14:paraId="01728199" w14:textId="77777777" w:rsidR="00E7554F" w:rsidRPr="00D06EB3" w:rsidRDefault="00E7554F" w:rsidP="00D75192">
            <w:pPr>
              <w:pStyle w:val="Textkrper"/>
              <w:spacing w:before="120" w:after="0"/>
              <w:ind w:left="113" w:right="113"/>
              <w:jc w:val="center"/>
            </w:pPr>
            <w:r w:rsidRPr="009845E0">
              <w:t>Restriction</w:t>
            </w:r>
          </w:p>
        </w:tc>
        <w:tc>
          <w:tcPr>
            <w:tcW w:w="5812" w:type="dxa"/>
            <w:tcBorders>
              <w:bottom w:val="single" w:sz="4" w:space="0" w:color="auto"/>
            </w:tcBorders>
            <w:vAlign w:val="center"/>
          </w:tcPr>
          <w:p w14:paraId="20E280AF" w14:textId="77777777" w:rsidR="00E7554F" w:rsidRPr="00951C67" w:rsidRDefault="004B4C19" w:rsidP="00D75192">
            <w:pPr>
              <w:pStyle w:val="Textkrper"/>
              <w:spacing w:before="120" w:after="0"/>
            </w:pPr>
            <w:sdt>
              <w:sdtPr>
                <w:rPr>
                  <w:szCs w:val="24"/>
                </w:rPr>
                <w:id w:val="-1799371774"/>
                <w14:checkbox>
                  <w14:checked w14:val="0"/>
                  <w14:checkedState w14:val="2612" w14:font="MS Gothic"/>
                  <w14:uncheckedState w14:val="2610" w14:font="MS Gothic"/>
                </w14:checkbox>
              </w:sdtPr>
              <w:sdtEndPr/>
              <w:sdtContent>
                <w:r w:rsidR="00E7554F" w:rsidRPr="00951C67">
                  <w:rPr>
                    <w:rFonts w:ascii="MS Gothic" w:eastAsia="MS Gothic" w:hAnsi="MS Gothic" w:hint="eastAsia"/>
                    <w:szCs w:val="24"/>
                  </w:rPr>
                  <w:t>☐</w:t>
                </w:r>
              </w:sdtContent>
            </w:sdt>
            <w:r w:rsidR="00E7554F" w:rsidRPr="00951C67">
              <w:t xml:space="preserve"> Annex XVII</w:t>
            </w:r>
          </w:p>
          <w:p w14:paraId="2C6F7299" w14:textId="77777777" w:rsidR="00E7554F" w:rsidRPr="00951C67" w:rsidRDefault="00E7554F" w:rsidP="00D75192">
            <w:pPr>
              <w:pStyle w:val="Textkrper"/>
              <w:spacing w:before="120" w:after="0"/>
              <w:rPr>
                <w:sz w:val="16"/>
                <w:szCs w:val="16"/>
              </w:rPr>
            </w:pPr>
          </w:p>
        </w:tc>
      </w:tr>
      <w:tr w:rsidR="00E7554F" w:rsidRPr="00DC3C42" w14:paraId="0004C22E" w14:textId="77777777" w:rsidTr="00D75192">
        <w:trPr>
          <w:cantSplit/>
          <w:trHeight w:val="1475"/>
        </w:trPr>
        <w:tc>
          <w:tcPr>
            <w:tcW w:w="1384" w:type="dxa"/>
            <w:textDirection w:val="btLr"/>
            <w:vAlign w:val="center"/>
          </w:tcPr>
          <w:p w14:paraId="7C9A9D23" w14:textId="77777777" w:rsidR="00E7554F" w:rsidRPr="00037AE8" w:rsidRDefault="00E7554F" w:rsidP="00D75192">
            <w:pPr>
              <w:pStyle w:val="Textkrper"/>
              <w:spacing w:before="120" w:after="0"/>
              <w:ind w:left="113" w:right="113"/>
              <w:jc w:val="center"/>
            </w:pPr>
            <w:r w:rsidRPr="00D06EB3">
              <w:t>Harmonised C&amp;L</w:t>
            </w:r>
            <w:r>
              <w:t xml:space="preserve"> </w:t>
            </w:r>
          </w:p>
        </w:tc>
        <w:tc>
          <w:tcPr>
            <w:tcW w:w="1134" w:type="dxa"/>
            <w:tcBorders>
              <w:right w:val="nil"/>
            </w:tcBorders>
            <w:textDirection w:val="btLr"/>
            <w:vAlign w:val="center"/>
          </w:tcPr>
          <w:p w14:paraId="528B321D" w14:textId="77777777" w:rsidR="00E7554F" w:rsidRPr="00D06EB3" w:rsidRDefault="00E7554F" w:rsidP="00D75192">
            <w:pPr>
              <w:pStyle w:val="Textkrper"/>
              <w:spacing w:before="120" w:after="0"/>
              <w:ind w:left="113" w:right="113"/>
              <w:jc w:val="center"/>
            </w:pPr>
          </w:p>
        </w:tc>
        <w:tc>
          <w:tcPr>
            <w:tcW w:w="5812" w:type="dxa"/>
            <w:tcBorders>
              <w:left w:val="nil"/>
            </w:tcBorders>
            <w:vAlign w:val="center"/>
          </w:tcPr>
          <w:p w14:paraId="410E59AD" w14:textId="77777777" w:rsidR="00E7554F" w:rsidRPr="00951C67" w:rsidRDefault="004B4C19" w:rsidP="00D75192">
            <w:pPr>
              <w:pStyle w:val="Textkrper"/>
              <w:spacing w:before="120" w:after="0"/>
            </w:pPr>
            <w:sdt>
              <w:sdtPr>
                <w:rPr>
                  <w:szCs w:val="24"/>
                </w:rPr>
                <w:id w:val="-1422323023"/>
                <w14:checkbox>
                  <w14:checked w14:val="1"/>
                  <w14:checkedState w14:val="2612" w14:font="MS Gothic"/>
                  <w14:uncheckedState w14:val="2610" w14:font="MS Gothic"/>
                </w14:checkbox>
              </w:sdtPr>
              <w:sdtEndPr/>
              <w:sdtContent>
                <w:r w:rsidR="00E7554F">
                  <w:rPr>
                    <w:rFonts w:ascii="MS Gothic" w:eastAsia="MS Gothic" w:hAnsi="MS Gothic" w:hint="eastAsia"/>
                    <w:szCs w:val="24"/>
                  </w:rPr>
                  <w:t>☒</w:t>
                </w:r>
              </w:sdtContent>
            </w:sdt>
            <w:r w:rsidR="00E7554F" w:rsidRPr="00951C67">
              <w:t xml:space="preserve"> Annex VI (CLP) (see section 3.1)</w:t>
            </w:r>
          </w:p>
          <w:p w14:paraId="5E932533" w14:textId="77777777" w:rsidR="00E7554F" w:rsidRDefault="00E7554F" w:rsidP="00D75192">
            <w:pPr>
              <w:pStyle w:val="Textkrper"/>
              <w:spacing w:before="120" w:after="0"/>
              <w:rPr>
                <w:sz w:val="18"/>
                <w:szCs w:val="18"/>
              </w:rPr>
            </w:pPr>
          </w:p>
          <w:p w14:paraId="4E07102F" w14:textId="77777777" w:rsidR="00E7554F" w:rsidRPr="00404EE1" w:rsidRDefault="00E7554F" w:rsidP="00D75192">
            <w:pPr>
              <w:pStyle w:val="Textkrper"/>
              <w:spacing w:before="120" w:after="0"/>
            </w:pPr>
            <w:r>
              <w:rPr>
                <w:sz w:val="18"/>
                <w:szCs w:val="18"/>
              </w:rPr>
              <w:t xml:space="preserve">CLH-dossier for </w:t>
            </w:r>
            <w:proofErr w:type="spellStart"/>
            <w:r>
              <w:rPr>
                <w:sz w:val="18"/>
                <w:szCs w:val="18"/>
              </w:rPr>
              <w:t>t</w:t>
            </w:r>
            <w:r w:rsidRPr="00395281">
              <w:rPr>
                <w:sz w:val="18"/>
                <w:szCs w:val="18"/>
              </w:rPr>
              <w:t>ris</w:t>
            </w:r>
            <w:proofErr w:type="spellEnd"/>
            <w:r w:rsidRPr="00395281">
              <w:rPr>
                <w:sz w:val="18"/>
                <w:szCs w:val="18"/>
              </w:rPr>
              <w:t>(2-methoxyethoxy)</w:t>
            </w:r>
            <w:proofErr w:type="spellStart"/>
            <w:r w:rsidRPr="00395281">
              <w:rPr>
                <w:sz w:val="18"/>
                <w:szCs w:val="18"/>
              </w:rPr>
              <w:t>vinylsilane</w:t>
            </w:r>
            <w:proofErr w:type="spellEnd"/>
            <w:r>
              <w:rPr>
                <w:sz w:val="18"/>
                <w:szCs w:val="18"/>
              </w:rPr>
              <w:t xml:space="preserve"> submitted by Austria, 2017; 15</w:t>
            </w:r>
            <w:r w:rsidRPr="00AC36E5">
              <w:rPr>
                <w:sz w:val="18"/>
                <w:szCs w:val="18"/>
                <w:vertAlign w:val="superscript"/>
              </w:rPr>
              <w:t>th</w:t>
            </w:r>
            <w:r>
              <w:rPr>
                <w:sz w:val="18"/>
                <w:szCs w:val="18"/>
              </w:rPr>
              <w:t xml:space="preserve"> ATP to CLP</w:t>
            </w:r>
          </w:p>
        </w:tc>
      </w:tr>
      <w:tr w:rsidR="00E7554F" w:rsidRPr="00DC3C42" w14:paraId="773611D9" w14:textId="77777777" w:rsidTr="00D75192">
        <w:trPr>
          <w:cantSplit/>
          <w:trHeight w:val="726"/>
        </w:trPr>
        <w:tc>
          <w:tcPr>
            <w:tcW w:w="1384" w:type="dxa"/>
            <w:vMerge w:val="restart"/>
            <w:textDirection w:val="btLr"/>
            <w:vAlign w:val="center"/>
          </w:tcPr>
          <w:p w14:paraId="519A0FCA" w14:textId="77777777" w:rsidR="00E7554F" w:rsidRPr="00037AE8" w:rsidRDefault="00E7554F" w:rsidP="00D75192">
            <w:pPr>
              <w:pStyle w:val="Textkrper"/>
              <w:spacing w:before="120" w:after="0"/>
              <w:ind w:left="113" w:right="113"/>
              <w:jc w:val="center"/>
            </w:pPr>
            <w:r w:rsidRPr="00361575">
              <w:t>Processes under other EU legislation</w:t>
            </w:r>
          </w:p>
        </w:tc>
        <w:tc>
          <w:tcPr>
            <w:tcW w:w="1134" w:type="dxa"/>
            <w:tcBorders>
              <w:right w:val="nil"/>
            </w:tcBorders>
            <w:textDirection w:val="btLr"/>
            <w:vAlign w:val="center"/>
          </w:tcPr>
          <w:p w14:paraId="1E5C9140" w14:textId="77777777" w:rsidR="00E7554F" w:rsidRPr="00D06EB3" w:rsidRDefault="00E7554F" w:rsidP="00D75192">
            <w:pPr>
              <w:pStyle w:val="Textkrper"/>
              <w:spacing w:before="120" w:after="0"/>
              <w:ind w:left="113" w:right="113"/>
              <w:jc w:val="center"/>
            </w:pPr>
          </w:p>
        </w:tc>
        <w:tc>
          <w:tcPr>
            <w:tcW w:w="5812" w:type="dxa"/>
            <w:tcBorders>
              <w:left w:val="nil"/>
            </w:tcBorders>
            <w:vAlign w:val="center"/>
          </w:tcPr>
          <w:p w14:paraId="603D15EC" w14:textId="77777777" w:rsidR="00E7554F" w:rsidRDefault="004B4C19" w:rsidP="00D75192">
            <w:pPr>
              <w:pStyle w:val="Textkrper"/>
              <w:spacing w:before="120" w:after="0"/>
              <w:ind w:left="459" w:hanging="459"/>
            </w:pPr>
            <w:sdt>
              <w:sdtPr>
                <w:rPr>
                  <w:szCs w:val="24"/>
                </w:rPr>
                <w:id w:val="2114626067"/>
                <w14:checkbox>
                  <w14:checked w14:val="0"/>
                  <w14:checkedState w14:val="2612" w14:font="MS Gothic"/>
                  <w14:uncheckedState w14:val="2610" w14:font="MS Gothic"/>
                </w14:checkbox>
              </w:sdtPr>
              <w:sdtEndPr/>
              <w:sdtContent>
                <w:r w:rsidR="00E7554F">
                  <w:rPr>
                    <w:rFonts w:ascii="MS Gothic" w:eastAsia="MS Gothic" w:hAnsi="MS Gothic" w:hint="eastAsia"/>
                    <w:szCs w:val="24"/>
                  </w:rPr>
                  <w:t>☐</w:t>
                </w:r>
              </w:sdtContent>
            </w:sdt>
            <w:r w:rsidR="00E7554F" w:rsidRPr="009940A8">
              <w:t xml:space="preserve"> </w:t>
            </w:r>
            <w:r w:rsidR="00E7554F" w:rsidRPr="00404EE1">
              <w:t>Plant Protection Products Regulation</w:t>
            </w:r>
            <w:r w:rsidR="00E7554F">
              <w:t xml:space="preserve"> </w:t>
            </w:r>
          </w:p>
          <w:p w14:paraId="227ED820" w14:textId="77777777" w:rsidR="00E7554F" w:rsidRPr="009940A8" w:rsidRDefault="00E7554F" w:rsidP="00D75192">
            <w:pPr>
              <w:pStyle w:val="Textkrper"/>
              <w:spacing w:before="120" w:after="0"/>
              <w:ind w:left="317"/>
            </w:pPr>
            <w:r>
              <w:t>Regulation</w:t>
            </w:r>
            <w:r w:rsidRPr="00404EE1">
              <w:t xml:space="preserve"> </w:t>
            </w:r>
            <w:r>
              <w:t xml:space="preserve">(EC) No 1107/2009 </w:t>
            </w:r>
          </w:p>
        </w:tc>
      </w:tr>
      <w:tr w:rsidR="00E7554F" w:rsidRPr="00037AE8" w14:paraId="51A5B7A3" w14:textId="77777777" w:rsidTr="00D75192">
        <w:trPr>
          <w:cantSplit/>
          <w:trHeight w:val="694"/>
        </w:trPr>
        <w:tc>
          <w:tcPr>
            <w:tcW w:w="1384" w:type="dxa"/>
            <w:vMerge/>
            <w:textDirection w:val="btLr"/>
            <w:vAlign w:val="center"/>
          </w:tcPr>
          <w:p w14:paraId="7057A3F2" w14:textId="77777777" w:rsidR="00E7554F" w:rsidRPr="00831D14" w:rsidRDefault="00E7554F" w:rsidP="00D75192">
            <w:pPr>
              <w:pStyle w:val="Textkrper"/>
              <w:spacing w:before="120" w:after="0"/>
              <w:ind w:left="113" w:right="113"/>
              <w:jc w:val="center"/>
            </w:pPr>
          </w:p>
        </w:tc>
        <w:tc>
          <w:tcPr>
            <w:tcW w:w="1134" w:type="dxa"/>
            <w:tcBorders>
              <w:right w:val="nil"/>
            </w:tcBorders>
            <w:textDirection w:val="btLr"/>
            <w:vAlign w:val="center"/>
          </w:tcPr>
          <w:p w14:paraId="6D396D54" w14:textId="77777777" w:rsidR="00E7554F" w:rsidRPr="001F1FCC" w:rsidRDefault="00E7554F" w:rsidP="00D75192">
            <w:pPr>
              <w:pStyle w:val="Textkrper"/>
              <w:spacing w:before="120" w:after="0"/>
              <w:ind w:left="113" w:right="113"/>
              <w:jc w:val="center"/>
            </w:pPr>
          </w:p>
        </w:tc>
        <w:tc>
          <w:tcPr>
            <w:tcW w:w="5812" w:type="dxa"/>
            <w:tcBorders>
              <w:left w:val="nil"/>
            </w:tcBorders>
            <w:vAlign w:val="center"/>
          </w:tcPr>
          <w:p w14:paraId="4F241771" w14:textId="77777777" w:rsidR="00E7554F" w:rsidRDefault="004B4C19" w:rsidP="00D75192">
            <w:pPr>
              <w:pStyle w:val="Textkrper"/>
              <w:spacing w:before="120" w:after="0"/>
              <w:ind w:left="317" w:hanging="317"/>
            </w:pPr>
            <w:sdt>
              <w:sdtPr>
                <w:rPr>
                  <w:szCs w:val="24"/>
                </w:rPr>
                <w:id w:val="1651639555"/>
                <w14:checkbox>
                  <w14:checked w14:val="0"/>
                  <w14:checkedState w14:val="2612" w14:font="MS Gothic"/>
                  <w14:uncheckedState w14:val="2610" w14:font="MS Gothic"/>
                </w14:checkbox>
              </w:sdtPr>
              <w:sdtEndPr/>
              <w:sdtContent>
                <w:r w:rsidR="00E7554F">
                  <w:rPr>
                    <w:rFonts w:ascii="MS Gothic" w:eastAsia="MS Gothic" w:hAnsi="MS Gothic" w:hint="eastAsia"/>
                    <w:szCs w:val="24"/>
                  </w:rPr>
                  <w:t>☐</w:t>
                </w:r>
              </w:sdtContent>
            </w:sdt>
            <w:r w:rsidR="00E7554F" w:rsidRPr="00404EE1">
              <w:t xml:space="preserve"> Biocidal Product Regulation</w:t>
            </w:r>
          </w:p>
          <w:p w14:paraId="36A4217E" w14:textId="77777777" w:rsidR="00E7554F" w:rsidRPr="00404EE1" w:rsidRDefault="00E7554F" w:rsidP="00D75192">
            <w:pPr>
              <w:pStyle w:val="Textkrper"/>
              <w:spacing w:before="120" w:after="0"/>
              <w:ind w:left="317"/>
            </w:pPr>
            <w:r>
              <w:t>Regulation</w:t>
            </w:r>
            <w:r w:rsidRPr="00404EE1">
              <w:t xml:space="preserve"> (EU) 528/2012</w:t>
            </w:r>
            <w:r>
              <w:t xml:space="preserve"> and amendments</w:t>
            </w:r>
            <w:r w:rsidRPr="00404EE1">
              <w:t xml:space="preserve"> </w:t>
            </w:r>
            <w:r>
              <w:t xml:space="preserve"> </w:t>
            </w:r>
          </w:p>
        </w:tc>
      </w:tr>
      <w:tr w:rsidR="00E7554F" w:rsidRPr="009B1E71" w14:paraId="51E2A470" w14:textId="77777777" w:rsidTr="00D75192">
        <w:trPr>
          <w:cantSplit/>
          <w:trHeight w:val="704"/>
        </w:trPr>
        <w:tc>
          <w:tcPr>
            <w:tcW w:w="1384" w:type="dxa"/>
            <w:vMerge w:val="restart"/>
            <w:textDirection w:val="btLr"/>
            <w:vAlign w:val="center"/>
          </w:tcPr>
          <w:p w14:paraId="5D82D263" w14:textId="77777777" w:rsidR="00E7554F" w:rsidRPr="003E5AC2" w:rsidRDefault="00E7554F" w:rsidP="00D75192">
            <w:pPr>
              <w:pStyle w:val="Textkrper"/>
              <w:spacing w:before="120" w:after="0"/>
              <w:ind w:left="113" w:right="113"/>
              <w:jc w:val="center"/>
            </w:pPr>
            <w:r>
              <w:t>Previous legislation</w:t>
            </w:r>
          </w:p>
        </w:tc>
        <w:tc>
          <w:tcPr>
            <w:tcW w:w="1134" w:type="dxa"/>
            <w:tcBorders>
              <w:right w:val="nil"/>
            </w:tcBorders>
            <w:textDirection w:val="btLr"/>
            <w:vAlign w:val="center"/>
          </w:tcPr>
          <w:p w14:paraId="7ECE0890" w14:textId="77777777" w:rsidR="00E7554F" w:rsidRPr="003E5AC2" w:rsidRDefault="00E7554F" w:rsidP="00D75192">
            <w:pPr>
              <w:pStyle w:val="Textkrper"/>
              <w:spacing w:before="120" w:after="0"/>
              <w:ind w:left="113" w:right="113"/>
              <w:jc w:val="center"/>
            </w:pPr>
          </w:p>
        </w:tc>
        <w:tc>
          <w:tcPr>
            <w:tcW w:w="5812" w:type="dxa"/>
            <w:tcBorders>
              <w:left w:val="nil"/>
            </w:tcBorders>
            <w:vAlign w:val="center"/>
          </w:tcPr>
          <w:p w14:paraId="412B6C08" w14:textId="77777777" w:rsidR="00E7554F" w:rsidRDefault="004B4C19" w:rsidP="00D75192">
            <w:pPr>
              <w:pStyle w:val="Textkrper"/>
              <w:spacing w:before="120" w:after="0"/>
              <w:ind w:left="317" w:hanging="317"/>
              <w:rPr>
                <w:lang w:val="fr-FR"/>
              </w:rPr>
            </w:pPr>
            <w:sdt>
              <w:sdtPr>
                <w:rPr>
                  <w:szCs w:val="24"/>
                  <w:lang w:val="fr-BE"/>
                </w:rPr>
                <w:id w:val="2022975554"/>
                <w14:checkbox>
                  <w14:checked w14:val="0"/>
                  <w14:checkedState w14:val="2612" w14:font="MS Gothic"/>
                  <w14:uncheckedState w14:val="2610" w14:font="MS Gothic"/>
                </w14:checkbox>
              </w:sdtPr>
              <w:sdtEndPr/>
              <w:sdtContent>
                <w:r w:rsidR="00E7554F" w:rsidRPr="006513B1">
                  <w:rPr>
                    <w:rFonts w:ascii="MS Gothic" w:eastAsia="MS Gothic" w:hAnsi="MS Gothic" w:hint="eastAsia"/>
                    <w:szCs w:val="24"/>
                    <w:lang w:val="fr-BE"/>
                  </w:rPr>
                  <w:t>☐</w:t>
                </w:r>
              </w:sdtContent>
            </w:sdt>
            <w:r w:rsidR="00E7554F" w:rsidRPr="0048058C">
              <w:rPr>
                <w:lang w:val="fr-BE"/>
              </w:rPr>
              <w:t xml:space="preserve"> </w:t>
            </w:r>
            <w:r w:rsidR="00E7554F" w:rsidRPr="006C0A2C">
              <w:rPr>
                <w:lang w:val="fr-FR"/>
              </w:rPr>
              <w:t>Dangerous substances Directive</w:t>
            </w:r>
          </w:p>
          <w:p w14:paraId="39DC4227" w14:textId="77777777" w:rsidR="00E7554F" w:rsidRPr="0048058C" w:rsidRDefault="00E7554F" w:rsidP="00D75192">
            <w:pPr>
              <w:pStyle w:val="Textkrper"/>
              <w:spacing w:before="120" w:after="0"/>
              <w:ind w:left="317"/>
              <w:rPr>
                <w:lang w:val="fr-BE"/>
              </w:rPr>
            </w:pPr>
            <w:r>
              <w:rPr>
                <w:lang w:val="fr-FR"/>
              </w:rPr>
              <w:t xml:space="preserve"> Directive</w:t>
            </w:r>
            <w:r w:rsidRPr="006C0A2C">
              <w:rPr>
                <w:lang w:val="fr-FR"/>
              </w:rPr>
              <w:t xml:space="preserve"> 67/548/EEC (NONS)</w:t>
            </w:r>
          </w:p>
        </w:tc>
      </w:tr>
      <w:tr w:rsidR="00E7554F" w:rsidRPr="00037AE8" w14:paraId="7D8A454D" w14:textId="77777777" w:rsidTr="00D75192">
        <w:trPr>
          <w:cantSplit/>
          <w:trHeight w:val="646"/>
        </w:trPr>
        <w:tc>
          <w:tcPr>
            <w:tcW w:w="1384" w:type="dxa"/>
            <w:vMerge/>
            <w:textDirection w:val="btLr"/>
            <w:vAlign w:val="center"/>
          </w:tcPr>
          <w:p w14:paraId="7ECB4775" w14:textId="77777777" w:rsidR="00E7554F" w:rsidRPr="0048058C" w:rsidRDefault="00E7554F" w:rsidP="00D75192">
            <w:pPr>
              <w:pStyle w:val="Textkrper"/>
              <w:spacing w:before="120" w:after="0"/>
              <w:ind w:left="113" w:right="113"/>
              <w:jc w:val="center"/>
              <w:rPr>
                <w:lang w:val="fr-BE"/>
              </w:rPr>
            </w:pPr>
          </w:p>
        </w:tc>
        <w:tc>
          <w:tcPr>
            <w:tcW w:w="1134" w:type="dxa"/>
            <w:tcBorders>
              <w:right w:val="nil"/>
            </w:tcBorders>
            <w:textDirection w:val="btLr"/>
            <w:vAlign w:val="center"/>
          </w:tcPr>
          <w:p w14:paraId="57814D7C" w14:textId="77777777" w:rsidR="00E7554F" w:rsidRPr="0048058C" w:rsidRDefault="00E7554F" w:rsidP="00D75192">
            <w:pPr>
              <w:pStyle w:val="Textkrper"/>
              <w:spacing w:before="120" w:after="0"/>
              <w:ind w:left="113" w:right="113"/>
              <w:jc w:val="center"/>
              <w:rPr>
                <w:lang w:val="fr-BE"/>
              </w:rPr>
            </w:pPr>
          </w:p>
        </w:tc>
        <w:tc>
          <w:tcPr>
            <w:tcW w:w="5812" w:type="dxa"/>
            <w:tcBorders>
              <w:left w:val="nil"/>
            </w:tcBorders>
            <w:vAlign w:val="center"/>
          </w:tcPr>
          <w:p w14:paraId="1686832A" w14:textId="77777777" w:rsidR="00E7554F" w:rsidRDefault="004B4C19" w:rsidP="00D75192">
            <w:pPr>
              <w:pStyle w:val="Textkrper"/>
              <w:spacing w:before="120" w:after="0"/>
              <w:ind w:left="317" w:hanging="317"/>
            </w:pPr>
            <w:sdt>
              <w:sdtPr>
                <w:rPr>
                  <w:szCs w:val="24"/>
                </w:rPr>
                <w:id w:val="983901159"/>
                <w14:checkbox>
                  <w14:checked w14:val="0"/>
                  <w14:checkedState w14:val="2612" w14:font="MS Gothic"/>
                  <w14:uncheckedState w14:val="2610" w14:font="MS Gothic"/>
                </w14:checkbox>
              </w:sdtPr>
              <w:sdtEndPr/>
              <w:sdtContent>
                <w:r w:rsidR="00E7554F">
                  <w:rPr>
                    <w:rFonts w:ascii="MS Gothic" w:eastAsia="MS Gothic" w:hAnsi="MS Gothic" w:hint="eastAsia"/>
                    <w:szCs w:val="24"/>
                  </w:rPr>
                  <w:t>☐</w:t>
                </w:r>
              </w:sdtContent>
            </w:sdt>
            <w:r w:rsidR="00E7554F" w:rsidRPr="00404EE1">
              <w:t xml:space="preserve"> Existing Substances Regulation</w:t>
            </w:r>
          </w:p>
          <w:p w14:paraId="41629210" w14:textId="77777777" w:rsidR="00E7554F" w:rsidRPr="00404EE1" w:rsidRDefault="00E7554F" w:rsidP="00D75192">
            <w:pPr>
              <w:pStyle w:val="Textkrper"/>
              <w:spacing w:before="120" w:after="0"/>
              <w:ind w:left="317"/>
            </w:pPr>
            <w:r>
              <w:t xml:space="preserve"> Regulation</w:t>
            </w:r>
            <w:r w:rsidRPr="00404EE1">
              <w:t xml:space="preserve"> 793/93/EEC</w:t>
            </w:r>
            <w:r>
              <w:t xml:space="preserve"> (RAR/RRS)   </w:t>
            </w:r>
          </w:p>
        </w:tc>
      </w:tr>
      <w:tr w:rsidR="00E7554F" w:rsidRPr="00037AE8" w14:paraId="71CBD5A2" w14:textId="77777777" w:rsidTr="00D75192">
        <w:trPr>
          <w:cantSplit/>
          <w:trHeight w:val="1000"/>
        </w:trPr>
        <w:tc>
          <w:tcPr>
            <w:tcW w:w="1384" w:type="dxa"/>
            <w:vMerge w:val="restart"/>
            <w:textDirection w:val="btLr"/>
            <w:vAlign w:val="center"/>
          </w:tcPr>
          <w:p w14:paraId="3C91A4D7" w14:textId="77777777" w:rsidR="00E7554F" w:rsidRPr="00C220E5" w:rsidRDefault="00E7554F" w:rsidP="00D75192">
            <w:pPr>
              <w:pStyle w:val="Textkrper"/>
              <w:spacing w:before="120" w:after="0"/>
              <w:ind w:left="113" w:right="113"/>
              <w:jc w:val="center"/>
            </w:pPr>
            <w:r w:rsidRPr="00C220E5">
              <w:t>(UNEP) Stockholm convention (POPs Protocol)</w:t>
            </w:r>
          </w:p>
        </w:tc>
        <w:tc>
          <w:tcPr>
            <w:tcW w:w="1134" w:type="dxa"/>
            <w:tcBorders>
              <w:right w:val="nil"/>
            </w:tcBorders>
            <w:textDirection w:val="btLr"/>
            <w:vAlign w:val="center"/>
          </w:tcPr>
          <w:p w14:paraId="3A6DAE56" w14:textId="77777777" w:rsidR="00E7554F" w:rsidRPr="00C220E5" w:rsidRDefault="00E7554F" w:rsidP="00D75192">
            <w:pPr>
              <w:pStyle w:val="Textkrper"/>
              <w:spacing w:before="120" w:after="0"/>
              <w:ind w:left="113" w:right="113"/>
              <w:jc w:val="center"/>
            </w:pPr>
          </w:p>
        </w:tc>
        <w:tc>
          <w:tcPr>
            <w:tcW w:w="5812" w:type="dxa"/>
            <w:tcBorders>
              <w:left w:val="nil"/>
            </w:tcBorders>
            <w:vAlign w:val="center"/>
          </w:tcPr>
          <w:p w14:paraId="1CC5F81B" w14:textId="77777777" w:rsidR="00E7554F" w:rsidRPr="00404EE1" w:rsidRDefault="004B4C19" w:rsidP="00D75192">
            <w:pPr>
              <w:pStyle w:val="Textkrper"/>
              <w:spacing w:before="120" w:after="0"/>
            </w:pPr>
            <w:sdt>
              <w:sdtPr>
                <w:rPr>
                  <w:szCs w:val="24"/>
                </w:rPr>
                <w:id w:val="1125200805"/>
                <w14:checkbox>
                  <w14:checked w14:val="0"/>
                  <w14:checkedState w14:val="2612" w14:font="MS Gothic"/>
                  <w14:uncheckedState w14:val="2610" w14:font="MS Gothic"/>
                </w14:checkbox>
              </w:sdtPr>
              <w:sdtEndPr/>
              <w:sdtContent>
                <w:r w:rsidR="00E7554F" w:rsidRPr="005C7C49">
                  <w:rPr>
                    <w:rFonts w:ascii="MS Gothic" w:eastAsia="MS Gothic" w:hAnsi="MS Gothic" w:cs="MS Gothic" w:hint="eastAsia"/>
                    <w:szCs w:val="24"/>
                  </w:rPr>
                  <w:t>☐</w:t>
                </w:r>
              </w:sdtContent>
            </w:sdt>
            <w:r w:rsidR="00E7554F" w:rsidRPr="00404EE1">
              <w:t xml:space="preserve"> </w:t>
            </w:r>
            <w:r w:rsidR="00E7554F">
              <w:t xml:space="preserve">Assessment   </w:t>
            </w:r>
          </w:p>
        </w:tc>
      </w:tr>
      <w:tr w:rsidR="00E7554F" w:rsidRPr="00037AE8" w14:paraId="5F2AEE2D" w14:textId="77777777" w:rsidTr="00D75192">
        <w:trPr>
          <w:cantSplit/>
          <w:trHeight w:val="692"/>
        </w:trPr>
        <w:tc>
          <w:tcPr>
            <w:tcW w:w="1384" w:type="dxa"/>
            <w:vMerge/>
            <w:textDirection w:val="btLr"/>
            <w:vAlign w:val="center"/>
          </w:tcPr>
          <w:p w14:paraId="33CFA00A" w14:textId="77777777" w:rsidR="00E7554F" w:rsidRPr="0048058C" w:rsidRDefault="00E7554F" w:rsidP="00D75192">
            <w:pPr>
              <w:pStyle w:val="Textkrper"/>
              <w:spacing w:before="120" w:after="0"/>
              <w:ind w:left="113" w:right="113"/>
              <w:jc w:val="center"/>
            </w:pPr>
          </w:p>
        </w:tc>
        <w:tc>
          <w:tcPr>
            <w:tcW w:w="1134" w:type="dxa"/>
            <w:tcBorders>
              <w:right w:val="nil"/>
            </w:tcBorders>
            <w:textDirection w:val="btLr"/>
            <w:vAlign w:val="center"/>
          </w:tcPr>
          <w:p w14:paraId="3F3B6099" w14:textId="77777777" w:rsidR="00E7554F" w:rsidRPr="0048058C" w:rsidRDefault="00E7554F" w:rsidP="00D75192">
            <w:pPr>
              <w:pStyle w:val="Textkrper"/>
              <w:spacing w:before="120"/>
              <w:ind w:left="113" w:right="113"/>
              <w:jc w:val="center"/>
            </w:pPr>
          </w:p>
        </w:tc>
        <w:tc>
          <w:tcPr>
            <w:tcW w:w="5812" w:type="dxa"/>
            <w:tcBorders>
              <w:left w:val="nil"/>
            </w:tcBorders>
            <w:vAlign w:val="center"/>
          </w:tcPr>
          <w:p w14:paraId="63F59390" w14:textId="77777777" w:rsidR="00E7554F" w:rsidRPr="00404EE1" w:rsidRDefault="004B4C19" w:rsidP="00D75192">
            <w:pPr>
              <w:pStyle w:val="Textkrper"/>
              <w:spacing w:before="120"/>
            </w:pPr>
            <w:sdt>
              <w:sdtPr>
                <w:rPr>
                  <w:szCs w:val="24"/>
                </w:rPr>
                <w:id w:val="689656449"/>
                <w14:checkbox>
                  <w14:checked w14:val="0"/>
                  <w14:checkedState w14:val="2612" w14:font="MS Gothic"/>
                  <w14:uncheckedState w14:val="2610" w14:font="MS Gothic"/>
                </w14:checkbox>
              </w:sdtPr>
              <w:sdtEndPr/>
              <w:sdtContent>
                <w:r w:rsidR="00E7554F">
                  <w:rPr>
                    <w:rFonts w:ascii="MS Gothic" w:eastAsia="MS Gothic" w:hAnsi="MS Gothic" w:hint="eastAsia"/>
                    <w:szCs w:val="24"/>
                  </w:rPr>
                  <w:t>☐</w:t>
                </w:r>
              </w:sdtContent>
            </w:sdt>
            <w:r w:rsidR="00E7554F" w:rsidRPr="00404EE1">
              <w:t xml:space="preserve"> </w:t>
            </w:r>
            <w:r w:rsidR="00E7554F">
              <w:t xml:space="preserve">In relevant Annex </w:t>
            </w:r>
          </w:p>
        </w:tc>
      </w:tr>
      <w:tr w:rsidR="00E7554F" w:rsidRPr="00037AE8" w14:paraId="2A8A1C84" w14:textId="77777777" w:rsidTr="00D75192">
        <w:trPr>
          <w:cantSplit/>
          <w:trHeight w:val="1431"/>
        </w:trPr>
        <w:tc>
          <w:tcPr>
            <w:tcW w:w="1384" w:type="dxa"/>
            <w:textDirection w:val="btLr"/>
            <w:vAlign w:val="center"/>
          </w:tcPr>
          <w:p w14:paraId="0D001FA6" w14:textId="77777777" w:rsidR="00E7554F" w:rsidRPr="0048058C" w:rsidRDefault="00E7554F" w:rsidP="00D75192">
            <w:pPr>
              <w:pStyle w:val="Textkrper"/>
              <w:spacing w:before="120" w:after="0"/>
              <w:ind w:left="113" w:right="113"/>
              <w:jc w:val="center"/>
            </w:pPr>
            <w:r>
              <w:lastRenderedPageBreak/>
              <w:t>Other processes/ EU legislation</w:t>
            </w:r>
          </w:p>
        </w:tc>
        <w:tc>
          <w:tcPr>
            <w:tcW w:w="1134" w:type="dxa"/>
            <w:tcBorders>
              <w:right w:val="nil"/>
            </w:tcBorders>
            <w:textDirection w:val="btLr"/>
            <w:vAlign w:val="center"/>
          </w:tcPr>
          <w:p w14:paraId="58CADAFA" w14:textId="77777777" w:rsidR="00E7554F" w:rsidRPr="0048058C" w:rsidRDefault="00E7554F" w:rsidP="00D75192">
            <w:pPr>
              <w:pStyle w:val="Textkrper"/>
              <w:spacing w:before="120"/>
              <w:ind w:left="113" w:right="113"/>
              <w:jc w:val="center"/>
            </w:pPr>
          </w:p>
        </w:tc>
        <w:tc>
          <w:tcPr>
            <w:tcW w:w="5812" w:type="dxa"/>
            <w:tcBorders>
              <w:left w:val="nil"/>
            </w:tcBorders>
            <w:vAlign w:val="center"/>
          </w:tcPr>
          <w:p w14:paraId="793F8115" w14:textId="4A8D0610" w:rsidR="00E7554F" w:rsidRDefault="004B4C19" w:rsidP="00D75192">
            <w:pPr>
              <w:pStyle w:val="Textkrper"/>
              <w:spacing w:before="120"/>
            </w:pPr>
            <w:sdt>
              <w:sdtPr>
                <w:rPr>
                  <w:szCs w:val="24"/>
                </w:rPr>
                <w:id w:val="-1936583114"/>
                <w14:checkbox>
                  <w14:checked w14:val="0"/>
                  <w14:checkedState w14:val="2612" w14:font="MS Gothic"/>
                  <w14:uncheckedState w14:val="2610" w14:font="MS Gothic"/>
                </w14:checkbox>
              </w:sdtPr>
              <w:sdtEndPr/>
              <w:sdtContent>
                <w:r w:rsidR="00B216AD">
                  <w:rPr>
                    <w:rFonts w:ascii="MS Gothic" w:eastAsia="MS Gothic" w:hAnsi="MS Gothic" w:hint="eastAsia"/>
                    <w:szCs w:val="24"/>
                  </w:rPr>
                  <w:t>☐</w:t>
                </w:r>
              </w:sdtContent>
            </w:sdt>
            <w:r w:rsidR="00E7554F" w:rsidRPr="00404EE1">
              <w:t xml:space="preserve"> </w:t>
            </w:r>
            <w:r w:rsidR="00E7554F" w:rsidRPr="001D1FDB">
              <w:t>Other</w:t>
            </w:r>
            <w:r w:rsidR="00E7554F">
              <w:t xml:space="preserve"> </w:t>
            </w:r>
            <w:r w:rsidR="00E7554F" w:rsidRPr="001D1FDB">
              <w:t>(provide further details below)</w:t>
            </w:r>
          </w:p>
          <w:p w14:paraId="297938F0" w14:textId="7D024B8D" w:rsidR="00E7554F" w:rsidRPr="00E21FA2" w:rsidRDefault="00E7554F" w:rsidP="00D75192">
            <w:pPr>
              <w:pStyle w:val="Textkrper"/>
              <w:spacing w:before="120"/>
              <w:rPr>
                <w:sz w:val="18"/>
                <w:szCs w:val="18"/>
              </w:rPr>
            </w:pPr>
          </w:p>
        </w:tc>
      </w:tr>
    </w:tbl>
    <w:p w14:paraId="683539C9" w14:textId="31E77A3B" w:rsidR="00BE5AF4" w:rsidRDefault="00BE5AF4" w:rsidP="00FB30A3">
      <w:pPr>
        <w:pStyle w:val="Textkrper"/>
        <w:rPr>
          <w:i/>
        </w:rPr>
      </w:pPr>
    </w:p>
    <w:p w14:paraId="060D61FF" w14:textId="29BB0583" w:rsidR="00E7554F" w:rsidRDefault="00E7554F" w:rsidP="0090153B">
      <w:pPr>
        <w:pStyle w:val="Textkrper"/>
        <w:jc w:val="both"/>
        <w:rPr>
          <w:lang w:val="en-US"/>
        </w:rPr>
      </w:pPr>
      <w:r w:rsidRPr="00B1630D">
        <w:rPr>
          <w:lang w:val="en-US"/>
        </w:rPr>
        <w:t>ECHA</w:t>
      </w:r>
      <w:r w:rsidRPr="00B1630D">
        <w:t xml:space="preserve"> has issued a testing proposal decision</w:t>
      </w:r>
      <w:r>
        <w:t xml:space="preserve"> for </w:t>
      </w:r>
      <w:proofErr w:type="spellStart"/>
      <w:proofErr w:type="gramStart"/>
      <w:r>
        <w:t>t</w:t>
      </w:r>
      <w:r w:rsidRPr="00570665">
        <w:t>ris</w:t>
      </w:r>
      <w:proofErr w:type="spellEnd"/>
      <w:r w:rsidRPr="00570665">
        <w:t>(</w:t>
      </w:r>
      <w:proofErr w:type="gramEnd"/>
      <w:r w:rsidRPr="00570665">
        <w:t>2-methoxyethoxy)</w:t>
      </w:r>
      <w:proofErr w:type="spellStart"/>
      <w:r w:rsidRPr="00570665">
        <w:t>vinylsilane</w:t>
      </w:r>
      <w:proofErr w:type="spellEnd"/>
      <w:r>
        <w:t xml:space="preserve">, </w:t>
      </w:r>
      <w:r w:rsidRPr="00B1630D">
        <w:t>requiring to carry out a pre-natal developmental toxicity study in rats, oral route (Annex IX, 8.7.2., test method EU B.31/OECD 414)</w:t>
      </w:r>
      <w:r>
        <w:t xml:space="preserve"> or </w:t>
      </w:r>
      <w:r w:rsidRPr="00DF081C">
        <w:t xml:space="preserve">to classify the substance as </w:t>
      </w:r>
      <w:r w:rsidRPr="001F0DA0">
        <w:t>toxic for reproduction</w:t>
      </w:r>
      <w:r>
        <w:t xml:space="preserve"> </w:t>
      </w:r>
      <w:r w:rsidRPr="00664FBC">
        <w:rPr>
          <w:lang w:val="en-US"/>
        </w:rPr>
        <w:t>category</w:t>
      </w:r>
      <w:r w:rsidRPr="001F0DA0">
        <w:t xml:space="preserve"> 1B</w:t>
      </w:r>
      <w:r w:rsidRPr="00B1630D">
        <w:t>.</w:t>
      </w:r>
      <w:r w:rsidRPr="00B1630D">
        <w:rPr>
          <w:rStyle w:val="Funotenzeichen"/>
        </w:rPr>
        <w:footnoteReference w:id="2"/>
      </w:r>
      <w:r w:rsidRPr="00B1630D">
        <w:t xml:space="preserve"> </w:t>
      </w:r>
      <w:r>
        <w:rPr>
          <w:lang w:val="en-US"/>
        </w:rPr>
        <w:t xml:space="preserve"> Following this decision, the lead registrant updated its dossier in </w:t>
      </w:r>
      <w:r w:rsidRPr="00664FBC">
        <w:rPr>
          <w:lang w:val="en-US"/>
        </w:rPr>
        <w:t>August 2014</w:t>
      </w:r>
      <w:r>
        <w:rPr>
          <w:lang w:val="en-US"/>
        </w:rPr>
        <w:t xml:space="preserve">, in which the </w:t>
      </w:r>
      <w:r w:rsidRPr="00664FBC">
        <w:rPr>
          <w:lang w:val="en-US"/>
        </w:rPr>
        <w:t xml:space="preserve">substance </w:t>
      </w:r>
      <w:proofErr w:type="spellStart"/>
      <w:proofErr w:type="gramStart"/>
      <w:r>
        <w:rPr>
          <w:lang w:val="en-US"/>
        </w:rPr>
        <w:t>t</w:t>
      </w:r>
      <w:r w:rsidRPr="00664FBC">
        <w:rPr>
          <w:lang w:val="en-US"/>
        </w:rPr>
        <w:t>ris</w:t>
      </w:r>
      <w:proofErr w:type="spellEnd"/>
      <w:r w:rsidRPr="00664FBC">
        <w:rPr>
          <w:lang w:val="en-US"/>
        </w:rPr>
        <w:t>(</w:t>
      </w:r>
      <w:proofErr w:type="gramEnd"/>
      <w:r w:rsidRPr="00664FBC">
        <w:rPr>
          <w:lang w:val="en-US"/>
        </w:rPr>
        <w:t>2-m</w:t>
      </w:r>
      <w:r w:rsidR="00D56E8F">
        <w:rPr>
          <w:lang w:val="en-US"/>
        </w:rPr>
        <w:t>ethoxyethoxy)</w:t>
      </w:r>
      <w:proofErr w:type="spellStart"/>
      <w:r w:rsidR="00D56E8F">
        <w:rPr>
          <w:lang w:val="en-US"/>
        </w:rPr>
        <w:t>vinylsilane</w:t>
      </w:r>
      <w:proofErr w:type="spellEnd"/>
      <w:r w:rsidR="00D56E8F">
        <w:rPr>
          <w:lang w:val="en-US"/>
        </w:rPr>
        <w:t xml:space="preserve"> </w:t>
      </w:r>
      <w:r w:rsidRPr="00664FBC">
        <w:rPr>
          <w:lang w:val="en-US"/>
        </w:rPr>
        <w:t xml:space="preserve">was </w:t>
      </w:r>
      <w:r>
        <w:rPr>
          <w:lang w:val="en-US"/>
        </w:rPr>
        <w:t>self-</w:t>
      </w:r>
      <w:r w:rsidRPr="00664FBC">
        <w:rPr>
          <w:lang w:val="en-US"/>
        </w:rPr>
        <w:t>classified as reproductive toxicant category 1B (</w:t>
      </w:r>
      <w:proofErr w:type="spellStart"/>
      <w:r w:rsidRPr="00664FBC">
        <w:rPr>
          <w:lang w:val="en-US"/>
        </w:rPr>
        <w:t>Repr</w:t>
      </w:r>
      <w:proofErr w:type="spellEnd"/>
      <w:r w:rsidRPr="00664FBC">
        <w:rPr>
          <w:lang w:val="en-US"/>
        </w:rPr>
        <w:t>. 1B, H360Df)</w:t>
      </w:r>
      <w:r>
        <w:rPr>
          <w:lang w:val="en-US"/>
        </w:rPr>
        <w:t>.</w:t>
      </w:r>
    </w:p>
    <w:p w14:paraId="06CF3F3F" w14:textId="77777777" w:rsidR="00D56E8F" w:rsidRDefault="00D56E8F" w:rsidP="00E7554F">
      <w:pPr>
        <w:pStyle w:val="Textkrper"/>
        <w:rPr>
          <w:lang w:val="en-US"/>
        </w:rPr>
      </w:pPr>
    </w:p>
    <w:p w14:paraId="683539CC" w14:textId="77777777" w:rsidR="00BE5AF4" w:rsidRPr="000711F7" w:rsidRDefault="00BE5AF4" w:rsidP="00BE5AF4">
      <w:pPr>
        <w:pStyle w:val="berschrift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90153B">
      <w:pPr>
        <w:jc w:val="both"/>
      </w:pPr>
      <w:r w:rsidRPr="00D53A3D">
        <w:t>This conclusion is based on the REACH and CLP data as well as other available relevant information taking into account the SVHC Roadmap to 2020, where appropriate.</w:t>
      </w:r>
    </w:p>
    <w:p w14:paraId="683539CE" w14:textId="77777777" w:rsidR="00D37806" w:rsidRDefault="00D37806" w:rsidP="00FB30A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084F3F5C" w:rsidR="00B2524D" w:rsidRPr="00B2524D" w:rsidRDefault="00E26608"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Textkrper"/>
      </w:pPr>
    </w:p>
    <w:p w14:paraId="68353A01" w14:textId="77777777" w:rsidR="00A446BC" w:rsidRDefault="00A446BC" w:rsidP="00471457"/>
    <w:p w14:paraId="68353A02" w14:textId="77777777" w:rsidR="00A446BC" w:rsidRPr="006E3CBA" w:rsidRDefault="00A446BC" w:rsidP="00471457"/>
    <w:p w14:paraId="68353A04" w14:textId="10ED0481" w:rsidR="00471457" w:rsidRPr="000711F7" w:rsidRDefault="00AF77F1" w:rsidP="00AF77F1">
      <w:pPr>
        <w:pStyle w:val="berschrift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7668FBCE" w14:textId="77777777" w:rsidR="004A7ED0" w:rsidRDefault="004A7ED0" w:rsidP="004A7ED0">
      <w:pPr>
        <w:pStyle w:val="Textkrper"/>
        <w:jc w:val="both"/>
      </w:pPr>
      <w:r w:rsidRPr="00951B3D">
        <w:t>Th</w:t>
      </w:r>
      <w:r>
        <w:t>e</w:t>
      </w:r>
      <w:r w:rsidRPr="00951B3D">
        <w:t xml:space="preserve"> </w:t>
      </w:r>
      <w:r>
        <w:t xml:space="preserve">substance </w:t>
      </w:r>
      <w:proofErr w:type="spellStart"/>
      <w:proofErr w:type="gramStart"/>
      <w:r w:rsidRPr="00951B3D">
        <w:rPr>
          <w:rFonts w:cs="Verdana"/>
          <w:lang w:eastAsia="en-GB"/>
        </w:rPr>
        <w:t>tris</w:t>
      </w:r>
      <w:proofErr w:type="spellEnd"/>
      <w:r w:rsidRPr="00951B3D">
        <w:rPr>
          <w:rFonts w:cs="Verdana"/>
          <w:lang w:eastAsia="en-GB"/>
        </w:rPr>
        <w:t>(</w:t>
      </w:r>
      <w:proofErr w:type="gramEnd"/>
      <w:r w:rsidRPr="00951B3D">
        <w:rPr>
          <w:rFonts w:cs="Verdana"/>
          <w:lang w:eastAsia="en-GB"/>
        </w:rPr>
        <w:t>2-methoxyethoxy)</w:t>
      </w:r>
      <w:proofErr w:type="spellStart"/>
      <w:r w:rsidRPr="00951B3D">
        <w:rPr>
          <w:rFonts w:cs="Verdana"/>
          <w:lang w:eastAsia="en-GB"/>
        </w:rPr>
        <w:t>vinylsilane</w:t>
      </w:r>
      <w:proofErr w:type="spellEnd"/>
      <w:r w:rsidRPr="00951B3D">
        <w:t xml:space="preserve"> </w:t>
      </w:r>
      <w:r>
        <w:t>shows reproductive toxicity and has a harmonized classification as reproductive toxicant</w:t>
      </w:r>
      <w:r w:rsidRPr="003E7AD8">
        <w:rPr>
          <w:rFonts w:cs="Verdana"/>
          <w:lang w:eastAsia="en-GB"/>
        </w:rPr>
        <w:t xml:space="preserve"> </w:t>
      </w:r>
      <w:r>
        <w:rPr>
          <w:rFonts w:cs="Verdana"/>
          <w:lang w:eastAsia="en-GB"/>
        </w:rPr>
        <w:t xml:space="preserve">category </w:t>
      </w:r>
      <w:r w:rsidRPr="003E7AD8">
        <w:rPr>
          <w:rFonts w:cs="Verdana"/>
          <w:lang w:eastAsia="en-GB"/>
        </w:rPr>
        <w:t>1B</w:t>
      </w:r>
      <w:r>
        <w:rPr>
          <w:rFonts w:cs="Verdana"/>
          <w:lang w:eastAsia="en-GB"/>
        </w:rPr>
        <w:t xml:space="preserve"> (</w:t>
      </w:r>
      <w:r w:rsidRPr="00D65649">
        <w:t>H360</w:t>
      </w:r>
      <w:r>
        <w:t>FD).</w:t>
      </w:r>
    </w:p>
    <w:p w14:paraId="3490FD41" w14:textId="2BB0F537" w:rsidR="004A7ED0" w:rsidRDefault="004A7ED0" w:rsidP="004A7ED0">
      <w:pPr>
        <w:pStyle w:val="Textkrper"/>
        <w:jc w:val="both"/>
      </w:pPr>
      <w:r>
        <w:rPr>
          <w:rFonts w:cs="Verdana"/>
          <w:lang w:eastAsia="en-GB"/>
        </w:rPr>
        <w:t>It</w:t>
      </w:r>
      <w:r w:rsidRPr="00951B3D">
        <w:t xml:space="preserve"> is registered for uses within the scope of authorisation (i.e. </w:t>
      </w:r>
      <w:r w:rsidRPr="00951B3D">
        <w:rPr>
          <w:lang w:val="en-IE"/>
        </w:rPr>
        <w:t xml:space="preserve">manufacture of rubber and plastic, in the formulation and use of non-metal surface treatment solutions/dispersions, and in the formulation of sealants and </w:t>
      </w:r>
      <w:r>
        <w:rPr>
          <w:lang w:val="en-IE"/>
        </w:rPr>
        <w:t xml:space="preserve">their </w:t>
      </w:r>
      <w:r w:rsidRPr="00951B3D">
        <w:rPr>
          <w:lang w:val="en-IE"/>
        </w:rPr>
        <w:t>use</w:t>
      </w:r>
      <w:r w:rsidRPr="00951B3D">
        <w:t xml:space="preserve">). </w:t>
      </w:r>
      <w:r>
        <w:t xml:space="preserve">It </w:t>
      </w:r>
      <w:r w:rsidRPr="00951B3D">
        <w:t>is produced/imported at high tonnage (&gt; 1</w:t>
      </w:r>
      <w:r>
        <w:t>,</w:t>
      </w:r>
      <w:r w:rsidRPr="00951B3D">
        <w:t xml:space="preserve">000 t/a). </w:t>
      </w:r>
      <w:r>
        <w:t>Industrial and professional uses have been registered and include the professional use of sealants containing the substance (mixtures)</w:t>
      </w:r>
      <w:r w:rsidRPr="00951B3D">
        <w:t>.</w:t>
      </w:r>
    </w:p>
    <w:p w14:paraId="3EBC033E" w14:textId="5846DCE6" w:rsidR="00735D93" w:rsidRDefault="00735D93" w:rsidP="004A7ED0">
      <w:pPr>
        <w:pStyle w:val="Textkrper"/>
        <w:jc w:val="both"/>
      </w:pPr>
      <w:r>
        <w:t>T</w:t>
      </w:r>
      <w:r w:rsidRPr="00E95D85">
        <w:t xml:space="preserve">here are several uses with high potential for exposure. </w:t>
      </w:r>
      <w:r>
        <w:t xml:space="preserve">The Austrian CA does not fully agree with the DNEL derivation </w:t>
      </w:r>
      <w:r w:rsidRPr="00E95D85">
        <w:t>by registrants</w:t>
      </w:r>
      <w:r>
        <w:t xml:space="preserve">, with the consequence that their might occur certain </w:t>
      </w:r>
      <w:r w:rsidRPr="00E95D85">
        <w:t>uses with</w:t>
      </w:r>
      <w:r>
        <w:t xml:space="preserve"> RCRs close to one or even somewhat higher. </w:t>
      </w:r>
    </w:p>
    <w:p w14:paraId="5D4E4692" w14:textId="77777777" w:rsidR="00735D93" w:rsidRDefault="00735D93" w:rsidP="00735D93">
      <w:pPr>
        <w:jc w:val="both"/>
      </w:pPr>
      <w:r>
        <w:t xml:space="preserve">Based on its harmonized classification as </w:t>
      </w:r>
      <w:proofErr w:type="spellStart"/>
      <w:r>
        <w:t>Repr</w:t>
      </w:r>
      <w:proofErr w:type="spellEnd"/>
      <w:r>
        <w:t xml:space="preserve"> 1B, inclusion of </w:t>
      </w:r>
      <w:proofErr w:type="spellStart"/>
      <w:proofErr w:type="gramStart"/>
      <w:r w:rsidRPr="00951B3D">
        <w:rPr>
          <w:rFonts w:cs="Verdana"/>
          <w:lang w:eastAsia="en-GB"/>
        </w:rPr>
        <w:t>tris</w:t>
      </w:r>
      <w:proofErr w:type="spellEnd"/>
      <w:r w:rsidRPr="00951B3D">
        <w:rPr>
          <w:rFonts w:cs="Verdana"/>
          <w:lang w:eastAsia="en-GB"/>
        </w:rPr>
        <w:t>(</w:t>
      </w:r>
      <w:proofErr w:type="gramEnd"/>
      <w:r w:rsidRPr="00951B3D">
        <w:rPr>
          <w:rFonts w:cs="Verdana"/>
          <w:lang w:eastAsia="en-GB"/>
        </w:rPr>
        <w:t>2-methoxyethoxy)</w:t>
      </w:r>
      <w:proofErr w:type="spellStart"/>
      <w:r w:rsidRPr="00951B3D">
        <w:rPr>
          <w:rFonts w:cs="Verdana"/>
          <w:lang w:eastAsia="en-GB"/>
        </w:rPr>
        <w:t>vinylsilane</w:t>
      </w:r>
      <w:proofErr w:type="spellEnd"/>
      <w:r>
        <w:rPr>
          <w:rFonts w:cs="Verdana"/>
          <w:lang w:eastAsia="en-GB"/>
        </w:rPr>
        <w:t xml:space="preserve"> into Group 30 of Annex XVII, REACH, is anticipated. Therefore, consumer uses of sealants containing </w:t>
      </w:r>
      <w:proofErr w:type="spellStart"/>
      <w:proofErr w:type="gramStart"/>
      <w:r w:rsidRPr="00951B3D">
        <w:rPr>
          <w:rFonts w:cs="Verdana"/>
          <w:lang w:eastAsia="en-GB"/>
        </w:rPr>
        <w:t>tris</w:t>
      </w:r>
      <w:proofErr w:type="spellEnd"/>
      <w:r w:rsidRPr="00951B3D">
        <w:rPr>
          <w:rFonts w:cs="Verdana"/>
          <w:lang w:eastAsia="en-GB"/>
        </w:rPr>
        <w:t>(</w:t>
      </w:r>
      <w:proofErr w:type="gramEnd"/>
      <w:r w:rsidRPr="00951B3D">
        <w:rPr>
          <w:rFonts w:cs="Verdana"/>
          <w:lang w:eastAsia="en-GB"/>
        </w:rPr>
        <w:t>2-methoxyethoxy)</w:t>
      </w:r>
      <w:proofErr w:type="spellStart"/>
      <w:r w:rsidRPr="00951B3D">
        <w:rPr>
          <w:rFonts w:cs="Verdana"/>
          <w:lang w:eastAsia="en-GB"/>
        </w:rPr>
        <w:t>vinylsilane</w:t>
      </w:r>
      <w:proofErr w:type="spellEnd"/>
      <w:r>
        <w:rPr>
          <w:rFonts w:cs="Verdana"/>
          <w:lang w:eastAsia="en-GB"/>
        </w:rPr>
        <w:t xml:space="preserve"> should not be possible in the future.</w:t>
      </w:r>
    </w:p>
    <w:p w14:paraId="1EF62489" w14:textId="10FBC6A8" w:rsidR="00735D93" w:rsidRDefault="00735D93" w:rsidP="00735D93">
      <w:pPr>
        <w:jc w:val="both"/>
      </w:pPr>
      <w:r>
        <w:t xml:space="preserve">However, </w:t>
      </w:r>
      <w:proofErr w:type="spellStart"/>
      <w:proofErr w:type="gramStart"/>
      <w:r>
        <w:t>t</w:t>
      </w:r>
      <w:r w:rsidRPr="00450044">
        <w:t>ris</w:t>
      </w:r>
      <w:proofErr w:type="spellEnd"/>
      <w:r>
        <w:t>(</w:t>
      </w:r>
      <w:proofErr w:type="gramEnd"/>
      <w:r>
        <w:t>2-methoxyethoxy)</w:t>
      </w:r>
      <w:proofErr w:type="spellStart"/>
      <w:r>
        <w:t>vinylsilane</w:t>
      </w:r>
      <w:proofErr w:type="spellEnd"/>
      <w:r w:rsidRPr="00450044">
        <w:t xml:space="preserve"> </w:t>
      </w:r>
      <w:proofErr w:type="spellStart"/>
      <w:r w:rsidRPr="00450044">
        <w:t>hydrolise</w:t>
      </w:r>
      <w:r>
        <w:t>s</w:t>
      </w:r>
      <w:proofErr w:type="spellEnd"/>
      <w:r w:rsidRPr="00450044">
        <w:t xml:space="preserve"> rapidly </w:t>
      </w:r>
      <w:r>
        <w:t xml:space="preserve">into </w:t>
      </w:r>
      <w:r w:rsidRPr="00450044">
        <w:t>2-methoxyethanol</w:t>
      </w:r>
      <w:r>
        <w:t xml:space="preserve">, </w:t>
      </w:r>
      <w:r>
        <w:lastRenderedPageBreak/>
        <w:t xml:space="preserve">when </w:t>
      </w:r>
      <w:r w:rsidRPr="00450044">
        <w:t>in con</w:t>
      </w:r>
      <w:r>
        <w:t xml:space="preserve">tact with water or air moisture. </w:t>
      </w:r>
      <w:r w:rsidRPr="00450044">
        <w:t>2-methoxyethanol</w:t>
      </w:r>
      <w:r w:rsidDel="0051398A">
        <w:t xml:space="preserve"> </w:t>
      </w:r>
      <w:r>
        <w:t xml:space="preserve">is classified as toxic for reproduction and </w:t>
      </w:r>
      <w:r w:rsidRPr="00450044">
        <w:t>included in the Candidate List.</w:t>
      </w:r>
      <w:r>
        <w:t xml:space="preserve"> In many uses, </w:t>
      </w:r>
      <w:proofErr w:type="spellStart"/>
      <w:proofErr w:type="gramStart"/>
      <w:r w:rsidRPr="00450044">
        <w:t>tris</w:t>
      </w:r>
      <w:proofErr w:type="spellEnd"/>
      <w:r w:rsidRPr="00450044">
        <w:t>(</w:t>
      </w:r>
      <w:proofErr w:type="gramEnd"/>
      <w:r w:rsidRPr="00450044">
        <w:t>2-methoxyethoxy)</w:t>
      </w:r>
      <w:proofErr w:type="spellStart"/>
      <w:r w:rsidRPr="00450044">
        <w:t>vinylsilane</w:t>
      </w:r>
      <w:proofErr w:type="spellEnd"/>
      <w:r>
        <w:t xml:space="preserve"> may therefore </w:t>
      </w:r>
      <w:proofErr w:type="spellStart"/>
      <w:r>
        <w:t>hydrolise</w:t>
      </w:r>
      <w:proofErr w:type="spellEnd"/>
      <w:r>
        <w:t xml:space="preserve"> and release </w:t>
      </w:r>
      <w:r w:rsidRPr="00450044">
        <w:t>2-methoxyethanol</w:t>
      </w:r>
      <w:r>
        <w:t>. Thus, exposure to 2-methoxyethanol is possible</w:t>
      </w:r>
      <w:r w:rsidRPr="00D52266">
        <w:t xml:space="preserve"> </w:t>
      </w:r>
      <w:r>
        <w:t xml:space="preserve">during use of </w:t>
      </w:r>
      <w:proofErr w:type="spellStart"/>
      <w:r w:rsidRPr="00450044">
        <w:t>tris</w:t>
      </w:r>
      <w:proofErr w:type="spellEnd"/>
      <w:r w:rsidRPr="00450044">
        <w:t>(2-methoxyethoxy)</w:t>
      </w:r>
      <w:proofErr w:type="spellStart"/>
      <w:r w:rsidRPr="00450044">
        <w:t>vinylsilane</w:t>
      </w:r>
      <w:proofErr w:type="spellEnd"/>
      <w:r>
        <w:t>, including “passive” exposure of the general public in indoor air as a result of professional uses of sealants containing it</w:t>
      </w:r>
      <w:r w:rsidR="000045D9">
        <w:rPr>
          <w:rStyle w:val="Funotenzeichen"/>
        </w:rPr>
        <w:footnoteReference w:id="3"/>
      </w:r>
      <w:r>
        <w:t>.</w:t>
      </w:r>
    </w:p>
    <w:p w14:paraId="653CB15B" w14:textId="1183F976" w:rsidR="00735D93" w:rsidRDefault="00735D93" w:rsidP="004A7ED0">
      <w:pPr>
        <w:jc w:val="both"/>
      </w:pPr>
    </w:p>
    <w:p w14:paraId="04C6E5C0" w14:textId="77777777" w:rsidR="002162C8" w:rsidRDefault="002162C8" w:rsidP="004A7ED0">
      <w:pPr>
        <w:pStyle w:val="Textkrper"/>
        <w:jc w:val="both"/>
      </w:pPr>
    </w:p>
    <w:p w14:paraId="3724486B" w14:textId="77777777" w:rsidR="004A7ED0" w:rsidRDefault="004A7ED0" w:rsidP="004F6831">
      <w:pPr>
        <w:pStyle w:val="Textkrper"/>
      </w:pPr>
      <w:bookmarkStart w:id="1" w:name="_Toc357683639"/>
    </w:p>
    <w:p w14:paraId="68353A12" w14:textId="77777777" w:rsidR="004F6831" w:rsidRDefault="008A1880" w:rsidP="008A1880">
      <w:pPr>
        <w:pStyle w:val="berschrift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68353A13" w14:textId="77777777" w:rsidR="004F6831" w:rsidRDefault="004F6831" w:rsidP="00270FFE">
      <w:pPr>
        <w:pStyle w:val="Textkrper"/>
      </w:pPr>
    </w:p>
    <w:p w14:paraId="6A2393D5" w14:textId="6E3B0F93" w:rsidR="00575C32" w:rsidRDefault="00575C32" w:rsidP="004A7ED0">
      <w:pPr>
        <w:jc w:val="both"/>
        <w:rPr>
          <w:lang w:eastAsia="en-GB"/>
        </w:rPr>
      </w:pPr>
      <w:r>
        <w:t xml:space="preserve">The substance </w:t>
      </w:r>
      <w:proofErr w:type="spellStart"/>
      <w:proofErr w:type="gramStart"/>
      <w:r>
        <w:t>t</w:t>
      </w:r>
      <w:r w:rsidRPr="00600936">
        <w:rPr>
          <w:rFonts w:cs="Verdana"/>
          <w:lang w:eastAsia="en-GB"/>
        </w:rPr>
        <w:t>ris</w:t>
      </w:r>
      <w:proofErr w:type="spellEnd"/>
      <w:r w:rsidRPr="00600936">
        <w:rPr>
          <w:rFonts w:cs="Verdana"/>
          <w:lang w:eastAsia="en-GB"/>
        </w:rPr>
        <w:t>(</w:t>
      </w:r>
      <w:proofErr w:type="gramEnd"/>
      <w:r w:rsidRPr="00600936">
        <w:rPr>
          <w:rFonts w:cs="Verdana"/>
          <w:lang w:eastAsia="en-GB"/>
        </w:rPr>
        <w:t>2-methoxyethoxy)</w:t>
      </w:r>
      <w:proofErr w:type="spellStart"/>
      <w:r w:rsidRPr="00600936">
        <w:rPr>
          <w:rFonts w:cs="Verdana"/>
          <w:lang w:eastAsia="en-GB"/>
        </w:rPr>
        <w:t>vinylsilane</w:t>
      </w:r>
      <w:proofErr w:type="spellEnd"/>
      <w:r w:rsidRPr="004C199B">
        <w:t xml:space="preserve"> fulfil</w:t>
      </w:r>
      <w:r>
        <w:t>s</w:t>
      </w:r>
      <w:r w:rsidRPr="004C199B">
        <w:t xml:space="preserve"> </w:t>
      </w:r>
      <w:r>
        <w:t xml:space="preserve">the </w:t>
      </w:r>
      <w:r w:rsidRPr="004C199B">
        <w:t>Article 57(c)</w:t>
      </w:r>
      <w:r>
        <w:t xml:space="preserve"> criteria</w:t>
      </w:r>
      <w:r>
        <w:rPr>
          <w:rFonts w:cs="Verdana"/>
          <w:lang w:eastAsia="en-GB"/>
        </w:rPr>
        <w:t xml:space="preserve"> of REACH </w:t>
      </w:r>
      <w:r>
        <w:t>based on the harmonized classification as reproductive toxicant</w:t>
      </w:r>
      <w:r w:rsidRPr="003E7AD8">
        <w:rPr>
          <w:rFonts w:cs="Verdana"/>
          <w:lang w:eastAsia="en-GB"/>
        </w:rPr>
        <w:t xml:space="preserve"> </w:t>
      </w:r>
      <w:r>
        <w:rPr>
          <w:rFonts w:cs="Verdana"/>
          <w:lang w:eastAsia="en-GB"/>
        </w:rPr>
        <w:t xml:space="preserve">category </w:t>
      </w:r>
      <w:r w:rsidRPr="003E7AD8">
        <w:rPr>
          <w:rFonts w:cs="Verdana"/>
          <w:lang w:eastAsia="en-GB"/>
        </w:rPr>
        <w:t>1B</w:t>
      </w:r>
      <w:r>
        <w:rPr>
          <w:rFonts w:cs="Verdana"/>
          <w:lang w:eastAsia="en-GB"/>
        </w:rPr>
        <w:t xml:space="preserve"> (</w:t>
      </w:r>
      <w:r w:rsidRPr="00D65649">
        <w:t>H360</w:t>
      </w:r>
      <w:r>
        <w:t xml:space="preserve">FD). It further </w:t>
      </w:r>
      <w:r w:rsidR="004A7ED0" w:rsidRPr="00DB51F2">
        <w:rPr>
          <w:lang w:eastAsia="en-GB"/>
        </w:rPr>
        <w:t>fulfil</w:t>
      </w:r>
      <w:r>
        <w:rPr>
          <w:lang w:eastAsia="en-GB"/>
        </w:rPr>
        <w:t>s</w:t>
      </w:r>
      <w:r w:rsidR="004A7ED0" w:rsidRPr="00DB51F2">
        <w:rPr>
          <w:lang w:eastAsia="en-GB"/>
        </w:rPr>
        <w:t xml:space="preserve"> the SVHC Roadmap 2020 criteria that have been defined for selecting substances that are relevant for identification as SVHC and thus it is in principle desirable to substitute these substances on a long term perspective.</w:t>
      </w:r>
    </w:p>
    <w:p w14:paraId="409433A6" w14:textId="7A4030F6" w:rsidR="00735D93" w:rsidRDefault="00735D93" w:rsidP="004A7ED0">
      <w:pPr>
        <w:jc w:val="both"/>
      </w:pPr>
    </w:p>
    <w:p w14:paraId="0DC179FF" w14:textId="77777777" w:rsidR="00575C32" w:rsidRDefault="004A7ED0" w:rsidP="004A7ED0">
      <w:pPr>
        <w:jc w:val="both"/>
        <w:rPr>
          <w:rFonts w:cs="Verdana"/>
          <w:color w:val="000000"/>
          <w:lang w:eastAsia="en-GB"/>
        </w:rPr>
      </w:pPr>
      <w:r>
        <w:rPr>
          <w:lang w:eastAsia="en-GB"/>
        </w:rPr>
        <w:t>The authorisation process provides incentives for the development of safer alternatives</w:t>
      </w:r>
      <w:r>
        <w:rPr>
          <w:rFonts w:cs="Verdana"/>
          <w:color w:val="000000"/>
          <w:lang w:eastAsia="en-GB"/>
        </w:rPr>
        <w:t xml:space="preserve">. </w:t>
      </w:r>
      <w:r w:rsidRPr="00B11911">
        <w:rPr>
          <w:rFonts w:cs="Verdana"/>
        </w:rPr>
        <w:t>Until substitution is achieved</w:t>
      </w:r>
      <w:r>
        <w:rPr>
          <w:rFonts w:cs="Verdana"/>
        </w:rPr>
        <w:t>,</w:t>
      </w:r>
      <w:r w:rsidRPr="00B11911">
        <w:rPr>
          <w:rFonts w:cs="Verdana"/>
        </w:rPr>
        <w:t xml:space="preserve"> </w:t>
      </w:r>
      <w:r>
        <w:rPr>
          <w:rFonts w:cs="Verdana"/>
        </w:rPr>
        <w:t xml:space="preserve">the </w:t>
      </w:r>
      <w:r w:rsidRPr="00B11911">
        <w:rPr>
          <w:rFonts w:cs="Verdana"/>
        </w:rPr>
        <w:t xml:space="preserve">authorisation </w:t>
      </w:r>
      <w:r w:rsidRPr="006E5357">
        <w:rPr>
          <w:rFonts w:cs="Verdana"/>
          <w:color w:val="000000"/>
          <w:lang w:eastAsia="en-GB"/>
        </w:rPr>
        <w:t xml:space="preserve">process aims at </w:t>
      </w:r>
      <w:r>
        <w:rPr>
          <w:rFonts w:cs="Verdana"/>
          <w:color w:val="000000"/>
          <w:lang w:eastAsia="en-GB"/>
        </w:rPr>
        <w:t xml:space="preserve">ensuring the </w:t>
      </w:r>
      <w:r w:rsidRPr="00994319">
        <w:rPr>
          <w:rFonts w:cs="Verdana"/>
          <w:color w:val="000000"/>
          <w:lang w:eastAsia="en-GB"/>
        </w:rPr>
        <w:t>good functioning of the internal market while assuring that the risks from substances of very high concern are properly controlled and that these substances are progressively replaced by suitable alternative substances or technologies where these are econo</w:t>
      </w:r>
      <w:r>
        <w:rPr>
          <w:rFonts w:cs="Verdana"/>
          <w:color w:val="000000"/>
          <w:lang w:eastAsia="en-GB"/>
        </w:rPr>
        <w:t xml:space="preserve">mically and technically viable (REACH Article 55). </w:t>
      </w:r>
    </w:p>
    <w:p w14:paraId="48DFCC31" w14:textId="77777777" w:rsidR="00575C32" w:rsidRDefault="00575C32" w:rsidP="004A7ED0">
      <w:pPr>
        <w:jc w:val="both"/>
        <w:rPr>
          <w:rFonts w:cs="Verdana"/>
          <w:color w:val="000000"/>
          <w:lang w:eastAsia="en-GB"/>
        </w:rPr>
      </w:pPr>
    </w:p>
    <w:p w14:paraId="3405EF8F" w14:textId="22E09CD9" w:rsidR="00575C32" w:rsidRPr="009A7049" w:rsidRDefault="00575C32" w:rsidP="00575C32">
      <w:pPr>
        <w:jc w:val="both"/>
        <w:rPr>
          <w:rFonts w:ascii="Calibri" w:hAnsi="Calibri"/>
          <w:snapToGrid/>
          <w:lang w:val="en-US" w:eastAsia="en-GB"/>
        </w:rPr>
      </w:pPr>
      <w:r>
        <w:t xml:space="preserve">For </w:t>
      </w:r>
      <w:proofErr w:type="spellStart"/>
      <w:proofErr w:type="gramStart"/>
      <w:r>
        <w:t>t</w:t>
      </w:r>
      <w:r w:rsidRPr="00600936">
        <w:rPr>
          <w:rFonts w:cs="Verdana"/>
          <w:lang w:eastAsia="en-GB"/>
        </w:rPr>
        <w:t>ris</w:t>
      </w:r>
      <w:proofErr w:type="spellEnd"/>
      <w:r w:rsidRPr="00600936">
        <w:rPr>
          <w:rFonts w:cs="Verdana"/>
          <w:lang w:eastAsia="en-GB"/>
        </w:rPr>
        <w:t>(</w:t>
      </w:r>
      <w:proofErr w:type="gramEnd"/>
      <w:r w:rsidRPr="00600936">
        <w:rPr>
          <w:rFonts w:cs="Verdana"/>
          <w:lang w:eastAsia="en-GB"/>
        </w:rPr>
        <w:t>2-methoxyethoxy)</w:t>
      </w:r>
      <w:proofErr w:type="spellStart"/>
      <w:r w:rsidRPr="00600936">
        <w:rPr>
          <w:rFonts w:cs="Verdana"/>
          <w:lang w:eastAsia="en-GB"/>
        </w:rPr>
        <w:t>vinylsilane</w:t>
      </w:r>
      <w:proofErr w:type="spellEnd"/>
      <w:r w:rsidRPr="004C199B">
        <w:t xml:space="preserve"> </w:t>
      </w:r>
      <w:r>
        <w:t>p</w:t>
      </w:r>
      <w:r>
        <w:rPr>
          <w:lang w:eastAsia="en-GB"/>
        </w:rPr>
        <w:t xml:space="preserve">otential alternative substances seem to be already </w:t>
      </w:r>
      <w:r w:rsidRPr="009A7049">
        <w:rPr>
          <w:lang w:eastAsia="en-GB"/>
        </w:rPr>
        <w:t>available for a significant number of uses</w:t>
      </w:r>
      <w:r w:rsidR="009A7049" w:rsidRPr="009A7049">
        <w:rPr>
          <w:lang w:eastAsia="en-GB"/>
        </w:rPr>
        <w:t>.</w:t>
      </w:r>
      <w:r w:rsidRPr="009A7049">
        <w:t xml:space="preserve"> </w:t>
      </w:r>
      <w:r w:rsidR="009A7049" w:rsidRPr="009A7049">
        <w:rPr>
          <w:lang w:val="en-IE"/>
        </w:rPr>
        <w:t>D</w:t>
      </w:r>
      <w:r w:rsidR="00AB6E9F" w:rsidRPr="009A7049">
        <w:rPr>
          <w:lang w:val="en-IE"/>
        </w:rPr>
        <w:t>epending on the</w:t>
      </w:r>
      <w:r w:rsidR="00AB6E9F" w:rsidRPr="009A7049">
        <w:t xml:space="preserve"> mechanical, thermal and electrical properties needed</w:t>
      </w:r>
      <w:r w:rsidR="009A7049" w:rsidRPr="009A7049">
        <w:t xml:space="preserve">, </w:t>
      </w:r>
      <w:r w:rsidR="00AB6E9F" w:rsidRPr="009A7049">
        <w:rPr>
          <w:lang w:val="en-US"/>
        </w:rPr>
        <w:t xml:space="preserve">specific alternatives </w:t>
      </w:r>
      <w:r w:rsidR="009A7049" w:rsidRPr="009A7049">
        <w:rPr>
          <w:lang w:val="en-US"/>
        </w:rPr>
        <w:t xml:space="preserve">will </w:t>
      </w:r>
      <w:r w:rsidR="00AB6E9F" w:rsidRPr="009A7049">
        <w:rPr>
          <w:lang w:val="en-US"/>
        </w:rPr>
        <w:t>ha</w:t>
      </w:r>
      <w:r w:rsidR="009A7049" w:rsidRPr="009A7049">
        <w:rPr>
          <w:lang w:val="en-US"/>
        </w:rPr>
        <w:t>ve to be determined use by use.</w:t>
      </w:r>
      <w:r w:rsidR="009A7049">
        <w:rPr>
          <w:rFonts w:ascii="Calibri" w:hAnsi="Calibri"/>
          <w:snapToGrid/>
          <w:lang w:val="en-US" w:eastAsia="en-GB"/>
        </w:rPr>
        <w:t xml:space="preserve"> </w:t>
      </w:r>
      <w:r>
        <w:t xml:space="preserve">The </w:t>
      </w:r>
      <w:r w:rsidRPr="00951B3D">
        <w:t xml:space="preserve">inclusion of the substance in the Candidate List for </w:t>
      </w:r>
      <w:r w:rsidR="009C3F2A">
        <w:t>eventual inclusion in Annex XIV</w:t>
      </w:r>
      <w:r>
        <w:t xml:space="preserve"> will put further pressure on substitution and is therefore regarded as the most appropriate and efficient measure to control the risks arising from the substance until substitution has been achieved. </w:t>
      </w:r>
    </w:p>
    <w:bookmarkEnd w:id="1"/>
    <w:p w14:paraId="253A4263" w14:textId="2955CAE3" w:rsidR="004A7ED0" w:rsidRDefault="004A7ED0" w:rsidP="00492518">
      <w:pPr>
        <w:widowControl/>
        <w:spacing w:after="200"/>
        <w:contextualSpacing/>
      </w:pPr>
    </w:p>
    <w:p w14:paraId="5310F4BD" w14:textId="77777777" w:rsidR="004A7ED0" w:rsidRPr="00492518" w:rsidRDefault="004A7ED0" w:rsidP="00492518">
      <w:pPr>
        <w:widowControl/>
        <w:spacing w:after="200"/>
        <w:contextualSpacing/>
      </w:pPr>
    </w:p>
    <w:p w14:paraId="68353A3C" w14:textId="3E86C7AC" w:rsidR="00DB0024" w:rsidRPr="00270FFE" w:rsidRDefault="006617E0" w:rsidP="00270FFE">
      <w:pPr>
        <w:pStyle w:val="berschrift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3E" w14:textId="77777777" w:rsidR="00024D48" w:rsidRPr="00975612" w:rsidRDefault="00024D48" w:rsidP="00471457">
      <w:pPr>
        <w:jc w:val="both"/>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1974A7F5" w:rsidR="00A14C19" w:rsidRPr="003016DF" w:rsidRDefault="004A7ED0" w:rsidP="00A2050D">
            <w:pPr>
              <w:spacing w:after="120"/>
            </w:pPr>
            <w:r>
              <w:t>Annex XV SVHC dossier</w:t>
            </w:r>
            <w:bookmarkStart w:id="2" w:name="_GoBack"/>
            <w:bookmarkEnd w:id="2"/>
          </w:p>
        </w:tc>
        <w:tc>
          <w:tcPr>
            <w:tcW w:w="2520" w:type="dxa"/>
            <w:shd w:val="clear" w:color="auto" w:fill="auto"/>
          </w:tcPr>
          <w:p w14:paraId="68353A52" w14:textId="16393D8C" w:rsidR="00A14C19" w:rsidRPr="003016DF" w:rsidRDefault="004A7ED0" w:rsidP="004A7ED0">
            <w:r>
              <w:t>August</w:t>
            </w:r>
            <w:r w:rsidR="00A14C19" w:rsidRPr="003016DF">
              <w:t xml:space="preserve"> / </w:t>
            </w:r>
            <w:r>
              <w:t>2021</w:t>
            </w:r>
            <w:r w:rsidR="00A14C19" w:rsidRPr="003016DF">
              <w:t xml:space="preserve"> </w:t>
            </w:r>
          </w:p>
        </w:tc>
        <w:tc>
          <w:tcPr>
            <w:tcW w:w="3780" w:type="dxa"/>
            <w:shd w:val="clear" w:color="auto" w:fill="auto"/>
          </w:tcPr>
          <w:p w14:paraId="68353A53" w14:textId="0801D6C6" w:rsidR="00A14C19" w:rsidRPr="003016DF" w:rsidRDefault="004A7ED0" w:rsidP="00A2050D">
            <w:r>
              <w:t>Austria</w:t>
            </w:r>
          </w:p>
        </w:tc>
      </w:tr>
    </w:tbl>
    <w:p w14:paraId="68353A59" w14:textId="77777777" w:rsidR="00997177" w:rsidRDefault="004B4C19"/>
    <w:sectPr w:rsidR="009971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3" w14:textId="77777777" w:rsidR="007A39FF" w:rsidRPr="00926DC2" w:rsidRDefault="007A39FF" w:rsidP="007A39FF">
    <w:pPr>
      <w:pStyle w:val="Fuzeile"/>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uzeile"/>
      <w:rPr>
        <w:sz w:val="18"/>
        <w:szCs w:val="18"/>
      </w:rPr>
    </w:pPr>
    <w:r>
      <w:rPr>
        <w:sz w:val="18"/>
        <w:szCs w:val="18"/>
      </w:rPr>
      <w:t>October</w:t>
    </w:r>
    <w:r w:rsidR="007A39FF">
      <w:rPr>
        <w:sz w:val="18"/>
        <w:szCs w:val="18"/>
      </w:rPr>
      <w:t xml:space="preserve"> 2015</w:t>
    </w:r>
  </w:p>
  <w:p w14:paraId="68353A67" w14:textId="77777777" w:rsidR="002E4026" w:rsidRDefault="002E40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8" w14:textId="2721949B" w:rsidR="002E4026" w:rsidRPr="00B66083" w:rsidRDefault="00E86372" w:rsidP="002E4026">
    <w:pPr>
      <w:pStyle w:val="Fuzeile"/>
      <w:jc w:val="center"/>
    </w:pPr>
    <w:r w:rsidRPr="009A61C8">
      <w:rPr>
        <w:sz w:val="18"/>
        <w:szCs w:val="18"/>
      </w:rPr>
      <w:t xml:space="preserve">EC no </w:t>
    </w:r>
    <w:r w:rsidR="00AD7EE5">
      <w:rPr>
        <w:sz w:val="18"/>
        <w:szCs w:val="18"/>
      </w:rPr>
      <w:t>213-934-0</w:t>
    </w:r>
    <w:r w:rsidRPr="009A61C8">
      <w:rPr>
        <w:sz w:val="18"/>
        <w:szCs w:val="18"/>
      </w:rPr>
      <w:tab/>
      <w:t xml:space="preserve">MSCA - </w:t>
    </w:r>
    <w:r w:rsidR="00AD7EE5">
      <w:rPr>
        <w:sz w:val="18"/>
        <w:szCs w:val="18"/>
      </w:rPr>
      <w:t>Austria</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4B4C19">
      <w:rPr>
        <w:noProof/>
        <w:sz w:val="18"/>
        <w:szCs w:val="18"/>
      </w:rPr>
      <w:t>6</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4B4C19">
      <w:rPr>
        <w:noProof/>
        <w:sz w:val="18"/>
        <w:szCs w:val="18"/>
      </w:rPr>
      <w:t>6</w:t>
    </w:r>
    <w:r w:rsidR="002E4026" w:rsidRPr="009320DD">
      <w:rPr>
        <w:sz w:val="18"/>
        <w:szCs w:val="18"/>
      </w:rPr>
      <w:fldChar w:fldCharType="end"/>
    </w:r>
  </w:p>
  <w:p w14:paraId="68353A69" w14:textId="77777777" w:rsidR="002E4026" w:rsidRDefault="002E4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unotentext"/>
      </w:pPr>
      <w:r>
        <w:rPr>
          <w:rStyle w:val="Funotenzeichen"/>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 w:id="2">
    <w:p w14:paraId="0BFA0EBF" w14:textId="77777777" w:rsidR="00E7554F" w:rsidRPr="00C31D49" w:rsidRDefault="00E7554F" w:rsidP="00E7554F">
      <w:pPr>
        <w:pStyle w:val="Textkrper"/>
        <w:spacing w:after="60"/>
        <w:rPr>
          <w:sz w:val="16"/>
          <w:szCs w:val="16"/>
        </w:rPr>
      </w:pPr>
      <w:r w:rsidRPr="00C31D49">
        <w:rPr>
          <w:rStyle w:val="Funotenzeichen"/>
          <w:sz w:val="16"/>
          <w:szCs w:val="16"/>
        </w:rPr>
        <w:footnoteRef/>
      </w:r>
      <w:r w:rsidRPr="00C31D49">
        <w:rPr>
          <w:sz w:val="16"/>
          <w:szCs w:val="16"/>
        </w:rPr>
        <w:t xml:space="preserve"> Testing proposal decision is available at</w:t>
      </w:r>
      <w:r>
        <w:rPr>
          <w:sz w:val="16"/>
          <w:szCs w:val="16"/>
        </w:rPr>
        <w:t xml:space="preserve"> </w:t>
      </w:r>
      <w:hyperlink r:id="rId2" w:history="1">
        <w:r w:rsidRPr="00322F67">
          <w:rPr>
            <w:rStyle w:val="Hyperlink"/>
            <w:sz w:val="16"/>
            <w:szCs w:val="16"/>
          </w:rPr>
          <w:t>https://echa.europa.eu/documents/10162/62a741f6-6183-8f70-431d-ea4f8794377b</w:t>
        </w:r>
      </w:hyperlink>
      <w:r>
        <w:rPr>
          <w:sz w:val="16"/>
          <w:szCs w:val="16"/>
        </w:rPr>
        <w:t xml:space="preserve"> </w:t>
      </w:r>
    </w:p>
  </w:footnote>
  <w:footnote w:id="3">
    <w:p w14:paraId="2600DF85" w14:textId="678E3A39" w:rsidR="000045D9" w:rsidRPr="000045D9" w:rsidRDefault="000045D9">
      <w:pPr>
        <w:pStyle w:val="Funotentext"/>
        <w:rPr>
          <w:sz w:val="16"/>
          <w:szCs w:val="16"/>
          <w:lang w:val="en-US"/>
        </w:rPr>
      </w:pPr>
      <w:r>
        <w:rPr>
          <w:rStyle w:val="Funotenzeichen"/>
        </w:rPr>
        <w:footnoteRef/>
      </w:r>
      <w:r>
        <w:t xml:space="preserve"> </w:t>
      </w:r>
      <w:r w:rsidRPr="000045D9">
        <w:rPr>
          <w:sz w:val="16"/>
          <w:szCs w:val="16"/>
        </w:rPr>
        <w:t xml:space="preserve">ECHA (2016). RMOA </w:t>
      </w:r>
      <w:proofErr w:type="spellStart"/>
      <w:r w:rsidRPr="000045D9">
        <w:rPr>
          <w:sz w:val="16"/>
          <w:szCs w:val="16"/>
        </w:rPr>
        <w:t>Tris</w:t>
      </w:r>
      <w:proofErr w:type="spellEnd"/>
      <w:r w:rsidRPr="000045D9">
        <w:rPr>
          <w:sz w:val="16"/>
          <w:szCs w:val="16"/>
        </w:rPr>
        <w:t>(2-methoxyethoxy)</w:t>
      </w:r>
      <w:proofErr w:type="spellStart"/>
      <w:r w:rsidRPr="000045D9">
        <w:rPr>
          <w:sz w:val="16"/>
          <w:szCs w:val="16"/>
        </w:rPr>
        <w:t>vinylsilane</w:t>
      </w:r>
      <w:proofErr w:type="spellEnd"/>
      <w:r w:rsidRPr="000045D9">
        <w:rPr>
          <w:sz w:val="16"/>
          <w:szCs w:val="16"/>
        </w:rPr>
        <w:t xml:space="preserve"> </w:t>
      </w:r>
      <w:hyperlink r:id="rId3" w:history="1">
        <w:r w:rsidRPr="000045D9">
          <w:rPr>
            <w:rStyle w:val="Hyperlink"/>
            <w:sz w:val="16"/>
            <w:szCs w:val="16"/>
          </w:rPr>
          <w:t>https://echa.europa.eu/documents/10162/f5d36f70-e0f3-95ba-b9b7-69a9582c3839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8"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0"/>
  </w:num>
  <w:num w:numId="3">
    <w:abstractNumId w:val="4"/>
  </w:num>
  <w:num w:numId="4">
    <w:abstractNumId w:val="0"/>
  </w:num>
  <w:num w:numId="5">
    <w:abstractNumId w:val="3"/>
  </w:num>
  <w:num w:numId="6">
    <w:abstractNumId w:val="12"/>
  </w:num>
  <w:num w:numId="7">
    <w:abstractNumId w:val="1"/>
  </w:num>
  <w:num w:numId="8">
    <w:abstractNumId w:val="2"/>
  </w:num>
  <w:num w:numId="9">
    <w:abstractNumId w:val="6"/>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en-IE" w:vendorID="64" w:dllVersion="131078" w:nlCheck="1" w:checkStyle="1"/>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7"/>
    <w:rsid w:val="00000F69"/>
    <w:rsid w:val="00002586"/>
    <w:rsid w:val="000042FA"/>
    <w:rsid w:val="000045D9"/>
    <w:rsid w:val="0000560B"/>
    <w:rsid w:val="000122ED"/>
    <w:rsid w:val="0001476D"/>
    <w:rsid w:val="000204C4"/>
    <w:rsid w:val="00024D48"/>
    <w:rsid w:val="00037F48"/>
    <w:rsid w:val="00047BEE"/>
    <w:rsid w:val="00054356"/>
    <w:rsid w:val="000633BF"/>
    <w:rsid w:val="000711F7"/>
    <w:rsid w:val="00077E65"/>
    <w:rsid w:val="0009452D"/>
    <w:rsid w:val="000A3AEB"/>
    <w:rsid w:val="000D5B93"/>
    <w:rsid w:val="000E2FC2"/>
    <w:rsid w:val="000E4E5B"/>
    <w:rsid w:val="000E7032"/>
    <w:rsid w:val="00112815"/>
    <w:rsid w:val="0011467E"/>
    <w:rsid w:val="001259BB"/>
    <w:rsid w:val="0012634F"/>
    <w:rsid w:val="00126494"/>
    <w:rsid w:val="001448AF"/>
    <w:rsid w:val="00144FCA"/>
    <w:rsid w:val="00166209"/>
    <w:rsid w:val="00183C4B"/>
    <w:rsid w:val="001915C8"/>
    <w:rsid w:val="001C1F13"/>
    <w:rsid w:val="001E6C1A"/>
    <w:rsid w:val="00201A44"/>
    <w:rsid w:val="00202966"/>
    <w:rsid w:val="00205775"/>
    <w:rsid w:val="002162C8"/>
    <w:rsid w:val="002163CF"/>
    <w:rsid w:val="00220442"/>
    <w:rsid w:val="00227B7E"/>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65EE"/>
    <w:rsid w:val="0032297A"/>
    <w:rsid w:val="00323522"/>
    <w:rsid w:val="00326F57"/>
    <w:rsid w:val="00332FF4"/>
    <w:rsid w:val="00363833"/>
    <w:rsid w:val="0036659A"/>
    <w:rsid w:val="003746D1"/>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A7ED0"/>
    <w:rsid w:val="004B10B4"/>
    <w:rsid w:val="004B48E4"/>
    <w:rsid w:val="004B4C19"/>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75C32"/>
    <w:rsid w:val="00586832"/>
    <w:rsid w:val="00594EC4"/>
    <w:rsid w:val="00596A10"/>
    <w:rsid w:val="005A2AD2"/>
    <w:rsid w:val="005B41A4"/>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B5ADC"/>
    <w:rsid w:val="006D39F4"/>
    <w:rsid w:val="006E2B7B"/>
    <w:rsid w:val="006E6B1A"/>
    <w:rsid w:val="006F6AE3"/>
    <w:rsid w:val="00705350"/>
    <w:rsid w:val="00713266"/>
    <w:rsid w:val="00735D93"/>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63DDD"/>
    <w:rsid w:val="00883931"/>
    <w:rsid w:val="008A1880"/>
    <w:rsid w:val="008B0A1A"/>
    <w:rsid w:val="008C0CC7"/>
    <w:rsid w:val="0090153B"/>
    <w:rsid w:val="00920032"/>
    <w:rsid w:val="00922BBA"/>
    <w:rsid w:val="009240AA"/>
    <w:rsid w:val="00930C01"/>
    <w:rsid w:val="00933335"/>
    <w:rsid w:val="00933AC5"/>
    <w:rsid w:val="009369B2"/>
    <w:rsid w:val="00955691"/>
    <w:rsid w:val="00955D7A"/>
    <w:rsid w:val="00962549"/>
    <w:rsid w:val="00980AC4"/>
    <w:rsid w:val="00983286"/>
    <w:rsid w:val="00983FBD"/>
    <w:rsid w:val="00985B7B"/>
    <w:rsid w:val="00986A52"/>
    <w:rsid w:val="009A4F2F"/>
    <w:rsid w:val="009A7049"/>
    <w:rsid w:val="009B0296"/>
    <w:rsid w:val="009B4D5D"/>
    <w:rsid w:val="009C2172"/>
    <w:rsid w:val="009C3F2A"/>
    <w:rsid w:val="009C590C"/>
    <w:rsid w:val="009C5A06"/>
    <w:rsid w:val="009D3C1E"/>
    <w:rsid w:val="009E696B"/>
    <w:rsid w:val="009F191D"/>
    <w:rsid w:val="00A03E87"/>
    <w:rsid w:val="00A14C19"/>
    <w:rsid w:val="00A14EC1"/>
    <w:rsid w:val="00A2487E"/>
    <w:rsid w:val="00A263C9"/>
    <w:rsid w:val="00A41F93"/>
    <w:rsid w:val="00A429E9"/>
    <w:rsid w:val="00A4316B"/>
    <w:rsid w:val="00A436BB"/>
    <w:rsid w:val="00A446BC"/>
    <w:rsid w:val="00A45B6C"/>
    <w:rsid w:val="00A54C28"/>
    <w:rsid w:val="00A75ACF"/>
    <w:rsid w:val="00A80DBE"/>
    <w:rsid w:val="00AB0322"/>
    <w:rsid w:val="00AB1228"/>
    <w:rsid w:val="00AB6E9F"/>
    <w:rsid w:val="00AC5ED0"/>
    <w:rsid w:val="00AC7509"/>
    <w:rsid w:val="00AC79ED"/>
    <w:rsid w:val="00AD40AE"/>
    <w:rsid w:val="00AD7EE5"/>
    <w:rsid w:val="00AE2396"/>
    <w:rsid w:val="00AF5158"/>
    <w:rsid w:val="00AF63F4"/>
    <w:rsid w:val="00AF6E00"/>
    <w:rsid w:val="00AF77F1"/>
    <w:rsid w:val="00B03339"/>
    <w:rsid w:val="00B216AD"/>
    <w:rsid w:val="00B2524D"/>
    <w:rsid w:val="00B32C2E"/>
    <w:rsid w:val="00B37A42"/>
    <w:rsid w:val="00B66083"/>
    <w:rsid w:val="00B70576"/>
    <w:rsid w:val="00B77AC3"/>
    <w:rsid w:val="00B92E74"/>
    <w:rsid w:val="00BB0CE8"/>
    <w:rsid w:val="00BB3275"/>
    <w:rsid w:val="00BC35A3"/>
    <w:rsid w:val="00BC5A7C"/>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11FC2"/>
    <w:rsid w:val="00D37806"/>
    <w:rsid w:val="00D462BD"/>
    <w:rsid w:val="00D5375D"/>
    <w:rsid w:val="00D53A3D"/>
    <w:rsid w:val="00D56E8F"/>
    <w:rsid w:val="00D61F8B"/>
    <w:rsid w:val="00D70C76"/>
    <w:rsid w:val="00DA5A25"/>
    <w:rsid w:val="00DA6B85"/>
    <w:rsid w:val="00DB0024"/>
    <w:rsid w:val="00DC1F12"/>
    <w:rsid w:val="00DD1882"/>
    <w:rsid w:val="00DD3519"/>
    <w:rsid w:val="00DF286B"/>
    <w:rsid w:val="00E14856"/>
    <w:rsid w:val="00E26608"/>
    <w:rsid w:val="00E36635"/>
    <w:rsid w:val="00E464B0"/>
    <w:rsid w:val="00E5500B"/>
    <w:rsid w:val="00E55E07"/>
    <w:rsid w:val="00E702C1"/>
    <w:rsid w:val="00E7554F"/>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353996"/>
  <w15:docId w15:val="{974A80E5-15E3-4C86-BFBD-75C16489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berschrift1">
    <w:name w:val="heading 1"/>
    <w:aliases w:val="ECHA Heading 1"/>
    <w:basedOn w:val="Standard"/>
    <w:next w:val="Textkrper"/>
    <w:link w:val="berschrift1Zchn"/>
    <w:uiPriority w:val="9"/>
    <w:qFormat/>
    <w:rsid w:val="00EA7CF9"/>
    <w:pPr>
      <w:keepNext/>
      <w:keepLines/>
      <w:spacing w:after="240"/>
      <w:outlineLvl w:val="0"/>
    </w:pPr>
    <w:rPr>
      <w:b/>
      <w:snapToGrid/>
      <w:color w:val="0046AD"/>
      <w:sz w:val="28"/>
      <w:szCs w:val="24"/>
    </w:rPr>
  </w:style>
  <w:style w:type="paragraph" w:styleId="berschrift2">
    <w:name w:val="heading 2"/>
    <w:aliases w:val="ECHA Heading 2"/>
    <w:basedOn w:val="berschrift1"/>
    <w:next w:val="Textkrper"/>
    <w:link w:val="berschrift2Zchn"/>
    <w:qFormat/>
    <w:rsid w:val="00EA7CF9"/>
    <w:pPr>
      <w:outlineLvl w:val="1"/>
    </w:pPr>
    <w:rPr>
      <w:rFonts w:cs="Arial"/>
      <w:sz w:val="24"/>
      <w:szCs w:val="22"/>
    </w:rPr>
  </w:style>
  <w:style w:type="paragraph" w:styleId="berschrift3">
    <w:name w:val="heading 3"/>
    <w:aliases w:val="ECHA Heading 3"/>
    <w:basedOn w:val="berschrift2"/>
    <w:next w:val="Textkrper"/>
    <w:link w:val="berschrift3Zchn"/>
    <w:uiPriority w:val="9"/>
    <w:qFormat/>
    <w:rsid w:val="00EA7CF9"/>
    <w:pPr>
      <w:outlineLvl w:val="2"/>
    </w:pPr>
    <w:rPr>
      <w:bCs/>
      <w:color w:val="000000"/>
      <w:sz w:val="22"/>
    </w:rPr>
  </w:style>
  <w:style w:type="paragraph" w:styleId="berschrift4">
    <w:name w:val="heading 4"/>
    <w:aliases w:val="ECHA Heading 4"/>
    <w:basedOn w:val="berschrift3"/>
    <w:next w:val="Textkrper"/>
    <w:link w:val="berschrift4Zchn"/>
    <w:qFormat/>
    <w:rsid w:val="00EA7CF9"/>
    <w:pPr>
      <w:outlineLvl w:val="3"/>
    </w:pPr>
    <w:rPr>
      <w:b w:val="0"/>
      <w:bCs w:val="0"/>
      <w:szCs w:val="28"/>
    </w:rPr>
  </w:style>
  <w:style w:type="paragraph" w:styleId="berschrift5">
    <w:name w:val="heading 5"/>
    <w:aliases w:val="ECHA Heading 5"/>
    <w:basedOn w:val="berschrift3"/>
    <w:next w:val="Textkrper"/>
    <w:link w:val="berschrift5Zchn"/>
    <w:qFormat/>
    <w:rsid w:val="00EA7CF9"/>
    <w:pPr>
      <w:outlineLvl w:val="4"/>
    </w:pPr>
    <w:rPr>
      <w:bCs w:val="0"/>
      <w:iCs/>
      <w:sz w:val="20"/>
      <w:szCs w:val="26"/>
    </w:rPr>
  </w:style>
  <w:style w:type="paragraph" w:styleId="berschrift6">
    <w:name w:val="heading 6"/>
    <w:aliases w:val="ECHA Heading 6"/>
    <w:basedOn w:val="berschrift5"/>
    <w:next w:val="Textkrper"/>
    <w:link w:val="berschrift6Zchn"/>
    <w:qFormat/>
    <w:rsid w:val="00EA7CF9"/>
    <w:pPr>
      <w:outlineLvl w:val="5"/>
    </w:pPr>
    <w:rPr>
      <w:bCs/>
      <w:szCs w:val="22"/>
    </w:rPr>
  </w:style>
  <w:style w:type="paragraph" w:styleId="berschrift7">
    <w:name w:val="heading 7"/>
    <w:aliases w:val="ECHA Heading 7"/>
    <w:basedOn w:val="berschrift5"/>
    <w:next w:val="Textkrper"/>
    <w:link w:val="berschrift7Zchn"/>
    <w:qFormat/>
    <w:rsid w:val="00EA7CF9"/>
    <w:pPr>
      <w:outlineLvl w:val="6"/>
    </w:pPr>
    <w:rPr>
      <w:szCs w:val="24"/>
    </w:rPr>
  </w:style>
  <w:style w:type="paragraph" w:styleId="berschrift8">
    <w:name w:val="heading 8"/>
    <w:aliases w:val="ECHA Heading 8"/>
    <w:basedOn w:val="berschrift5"/>
    <w:next w:val="Textkrper"/>
    <w:link w:val="berschrift8Zchn"/>
    <w:qFormat/>
    <w:rsid w:val="00EA7CF9"/>
    <w:pPr>
      <w:outlineLvl w:val="7"/>
    </w:pPr>
    <w:rPr>
      <w:iCs w:val="0"/>
      <w:szCs w:val="24"/>
    </w:rPr>
  </w:style>
  <w:style w:type="paragraph" w:styleId="berschrift9">
    <w:name w:val="heading 9"/>
    <w:aliases w:val="ECHA Heading 9"/>
    <w:basedOn w:val="berschrift5"/>
    <w:next w:val="Textkrper"/>
    <w:link w:val="berschrift9Zchn"/>
    <w:qFormat/>
    <w:rsid w:val="00EA7CF9"/>
    <w:p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CHA Heading 1 Zchn"/>
    <w:basedOn w:val="Absatz-Standardschriftart"/>
    <w:link w:val="berschrift1"/>
    <w:rsid w:val="00EA7CF9"/>
    <w:rPr>
      <w:rFonts w:ascii="Verdana" w:eastAsia="Times New Roman" w:hAnsi="Verdana" w:cs="Times New Roman"/>
      <w:b/>
      <w:snapToGrid w:val="0"/>
      <w:color w:val="0046AD"/>
      <w:sz w:val="28"/>
      <w:szCs w:val="24"/>
      <w:lang w:eastAsia="fi-FI"/>
    </w:rPr>
  </w:style>
  <w:style w:type="character" w:customStyle="1" w:styleId="berschrift2Zchn">
    <w:name w:val="Überschrift 2 Zchn"/>
    <w:aliases w:val="ECHA Heading 2 Zchn"/>
    <w:basedOn w:val="Absatz-Standardschriftart"/>
    <w:link w:val="berschrift2"/>
    <w:rsid w:val="00EA7CF9"/>
    <w:rPr>
      <w:rFonts w:ascii="Verdana" w:eastAsia="Times New Roman" w:hAnsi="Verdana" w:cs="Arial"/>
      <w:b/>
      <w:snapToGrid w:val="0"/>
      <w:color w:val="0046AD"/>
      <w:sz w:val="24"/>
      <w:lang w:eastAsia="fi-FI"/>
    </w:rPr>
  </w:style>
  <w:style w:type="character" w:customStyle="1" w:styleId="berschrift3Zchn">
    <w:name w:val="Überschrift 3 Zchn"/>
    <w:aliases w:val="ECHA Heading 3 Zchn"/>
    <w:basedOn w:val="Absatz-Standardschriftart"/>
    <w:link w:val="berschrift3"/>
    <w:rsid w:val="00EA7CF9"/>
    <w:rPr>
      <w:rFonts w:ascii="Verdana" w:eastAsia="Times New Roman" w:hAnsi="Verdana" w:cs="Arial"/>
      <w:b/>
      <w:bCs/>
      <w:snapToGrid w:val="0"/>
      <w:color w:val="000000"/>
      <w:lang w:eastAsia="fi-FI"/>
    </w:rPr>
  </w:style>
  <w:style w:type="character" w:customStyle="1" w:styleId="berschrift4Zchn">
    <w:name w:val="Überschrift 4 Zchn"/>
    <w:aliases w:val="ECHA Heading 4 Zchn"/>
    <w:basedOn w:val="Absatz-Standardschriftart"/>
    <w:link w:val="berschrift4"/>
    <w:rsid w:val="00EA7CF9"/>
    <w:rPr>
      <w:rFonts w:ascii="Verdana" w:eastAsia="Times New Roman" w:hAnsi="Verdana" w:cs="Arial"/>
      <w:snapToGrid w:val="0"/>
      <w:color w:val="000000"/>
      <w:szCs w:val="28"/>
      <w:lang w:eastAsia="fi-FI"/>
    </w:rPr>
  </w:style>
  <w:style w:type="character" w:customStyle="1" w:styleId="berschrift5Zchn">
    <w:name w:val="Überschrift 5 Zchn"/>
    <w:aliases w:val="ECHA Heading 5 Zchn"/>
    <w:basedOn w:val="Absatz-Standardschriftart"/>
    <w:link w:val="berschrift5"/>
    <w:rsid w:val="00EA7CF9"/>
    <w:rPr>
      <w:rFonts w:ascii="Verdana" w:eastAsia="Times New Roman" w:hAnsi="Verdana" w:cs="Arial"/>
      <w:b/>
      <w:iCs/>
      <w:snapToGrid w:val="0"/>
      <w:color w:val="000000"/>
      <w:sz w:val="20"/>
      <w:szCs w:val="26"/>
      <w:lang w:eastAsia="fi-FI"/>
    </w:rPr>
  </w:style>
  <w:style w:type="character" w:customStyle="1" w:styleId="berschrift6Zchn">
    <w:name w:val="Überschrift 6 Zchn"/>
    <w:aliases w:val="ECHA Heading 6 Zchn"/>
    <w:basedOn w:val="Absatz-Standardschriftart"/>
    <w:link w:val="berschrift6"/>
    <w:rsid w:val="00EA7CF9"/>
    <w:rPr>
      <w:rFonts w:ascii="Verdana" w:eastAsia="Times New Roman" w:hAnsi="Verdana" w:cs="Arial"/>
      <w:b/>
      <w:bCs/>
      <w:iCs/>
      <w:snapToGrid w:val="0"/>
      <w:color w:val="000000"/>
      <w:sz w:val="20"/>
      <w:lang w:eastAsia="fi-FI"/>
    </w:rPr>
  </w:style>
  <w:style w:type="character" w:customStyle="1" w:styleId="berschrift7Zchn">
    <w:name w:val="Überschrift 7 Zchn"/>
    <w:aliases w:val="ECHA Heading 7 Zchn"/>
    <w:basedOn w:val="Absatz-Standardschriftart"/>
    <w:link w:val="berschrift7"/>
    <w:rsid w:val="00EA7CF9"/>
    <w:rPr>
      <w:rFonts w:ascii="Verdana" w:eastAsia="Times New Roman" w:hAnsi="Verdana" w:cs="Arial"/>
      <w:b/>
      <w:iCs/>
      <w:snapToGrid w:val="0"/>
      <w:color w:val="000000"/>
      <w:sz w:val="20"/>
      <w:szCs w:val="24"/>
      <w:lang w:eastAsia="fi-FI"/>
    </w:rPr>
  </w:style>
  <w:style w:type="character" w:customStyle="1" w:styleId="berschrift8Zchn">
    <w:name w:val="Überschrift 8 Zchn"/>
    <w:aliases w:val="ECHA Heading 8 Zchn"/>
    <w:basedOn w:val="Absatz-Standardschriftart"/>
    <w:link w:val="berschrift8"/>
    <w:rsid w:val="00EA7CF9"/>
    <w:rPr>
      <w:rFonts w:ascii="Verdana" w:eastAsia="Times New Roman" w:hAnsi="Verdana" w:cs="Arial"/>
      <w:b/>
      <w:snapToGrid w:val="0"/>
      <w:color w:val="000000"/>
      <w:sz w:val="20"/>
      <w:szCs w:val="24"/>
      <w:lang w:eastAsia="fi-FI"/>
    </w:rPr>
  </w:style>
  <w:style w:type="character" w:customStyle="1" w:styleId="berschrift9Zchn">
    <w:name w:val="Überschrift 9 Zchn"/>
    <w:aliases w:val="ECHA Heading 9 Zchn"/>
    <w:basedOn w:val="Absatz-Standardschriftart"/>
    <w:link w:val="berschrift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KeineListe"/>
    <w:rsid w:val="00EA7CF9"/>
    <w:pPr>
      <w:numPr>
        <w:numId w:val="1"/>
      </w:numPr>
    </w:pPr>
  </w:style>
  <w:style w:type="numbering" w:customStyle="1" w:styleId="ECHANumberlist">
    <w:name w:val="ECHA Number list"/>
    <w:basedOn w:val="KeineListe"/>
    <w:rsid w:val="00EA7CF9"/>
    <w:pPr>
      <w:numPr>
        <w:numId w:val="2"/>
      </w:numPr>
    </w:pPr>
  </w:style>
  <w:style w:type="paragraph" w:styleId="Textkrper">
    <w:name w:val="Body Text"/>
    <w:aliases w:val="Text"/>
    <w:basedOn w:val="Standard"/>
    <w:link w:val="TextkrperZchn"/>
    <w:unhideWhenUsed/>
    <w:rsid w:val="00EA7CF9"/>
    <w:pPr>
      <w:spacing w:after="120"/>
    </w:pPr>
  </w:style>
  <w:style w:type="character" w:customStyle="1" w:styleId="TextkrperZchn">
    <w:name w:val="Textkörper Zchn"/>
    <w:aliases w:val="Text Zchn"/>
    <w:basedOn w:val="Absatz-Standardschriftart"/>
    <w:link w:val="Textkrper"/>
    <w:rsid w:val="00EA7CF9"/>
  </w:style>
  <w:style w:type="paragraph" w:styleId="Titel">
    <w:name w:val="Title"/>
    <w:aliases w:val="ECHA Heading"/>
    <w:basedOn w:val="berschrift1"/>
    <w:next w:val="Textkrper"/>
    <w:link w:val="TitelZchn"/>
    <w:qFormat/>
    <w:rsid w:val="00EA7CF9"/>
    <w:rPr>
      <w:rFonts w:cs="Arial"/>
      <w:bCs/>
      <w:szCs w:val="32"/>
    </w:rPr>
  </w:style>
  <w:style w:type="character" w:customStyle="1" w:styleId="TitelZchn">
    <w:name w:val="Titel Zchn"/>
    <w:aliases w:val="ECHA Heading Zchn"/>
    <w:basedOn w:val="Absatz-Standardschriftart"/>
    <w:link w:val="Titel"/>
    <w:rsid w:val="00EA7CF9"/>
    <w:rPr>
      <w:rFonts w:ascii="Verdana" w:eastAsia="Times New Roman" w:hAnsi="Verdana" w:cs="Arial"/>
      <w:b/>
      <w:bCs/>
      <w:snapToGrid w:val="0"/>
      <w:color w:val="0046AD"/>
      <w:sz w:val="28"/>
      <w:szCs w:val="32"/>
      <w:lang w:eastAsia="fi-FI"/>
    </w:rPr>
  </w:style>
  <w:style w:type="paragraph" w:styleId="Funotentext">
    <w:name w:val="footnote text"/>
    <w:basedOn w:val="Standard"/>
    <w:link w:val="FunotentextZchn"/>
    <w:uiPriority w:val="99"/>
    <w:semiHidden/>
    <w:qFormat/>
    <w:rsid w:val="00471457"/>
  </w:style>
  <w:style w:type="character" w:customStyle="1" w:styleId="FunotentextZchn">
    <w:name w:val="Fußnotentext Zchn"/>
    <w:basedOn w:val="Absatz-Standardschriftart"/>
    <w:link w:val="Funotentext"/>
    <w:uiPriority w:val="99"/>
    <w:semiHidden/>
    <w:rsid w:val="00471457"/>
    <w:rPr>
      <w:rFonts w:ascii="Verdana" w:eastAsia="Times New Roman" w:hAnsi="Verdana" w:cs="Times New Roman"/>
      <w:snapToGrid w:val="0"/>
      <w:sz w:val="20"/>
      <w:szCs w:val="20"/>
      <w:lang w:eastAsia="fi-FI"/>
    </w:rPr>
  </w:style>
  <w:style w:type="character" w:styleId="Funotenzeichen">
    <w:name w:val="footnote reference"/>
    <w:aliases w:val="Footnote,Footnote Reference/"/>
    <w:qFormat/>
    <w:rsid w:val="00471457"/>
    <w:rPr>
      <w:vertAlign w:val="superscript"/>
    </w:rPr>
  </w:style>
  <w:style w:type="paragraph" w:styleId="Listenabsatz">
    <w:name w:val="List Paragraph"/>
    <w:basedOn w:val="Standard"/>
    <w:uiPriority w:val="34"/>
    <w:qFormat/>
    <w:rsid w:val="00471457"/>
    <w:pPr>
      <w:ind w:left="720"/>
    </w:pPr>
  </w:style>
  <w:style w:type="paragraph" w:styleId="Sprechblasentext">
    <w:name w:val="Balloon Text"/>
    <w:basedOn w:val="Standard"/>
    <w:link w:val="SprechblasentextZchn"/>
    <w:uiPriority w:val="99"/>
    <w:semiHidden/>
    <w:unhideWhenUsed/>
    <w:rsid w:val="005F45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5D1"/>
    <w:rPr>
      <w:rFonts w:ascii="Tahoma" w:eastAsia="Times New Roman" w:hAnsi="Tahoma" w:cs="Tahoma"/>
      <w:snapToGrid w:val="0"/>
      <w:sz w:val="16"/>
      <w:szCs w:val="16"/>
      <w:lang w:eastAsia="fi-FI"/>
    </w:rPr>
  </w:style>
  <w:style w:type="character" w:styleId="Kommentarzeichen">
    <w:name w:val="annotation reference"/>
    <w:basedOn w:val="Absatz-Standardschriftart"/>
    <w:uiPriority w:val="99"/>
    <w:semiHidden/>
    <w:unhideWhenUsed/>
    <w:rsid w:val="002F261C"/>
    <w:rPr>
      <w:sz w:val="16"/>
      <w:szCs w:val="16"/>
    </w:rPr>
  </w:style>
  <w:style w:type="paragraph" w:styleId="Kommentartext">
    <w:name w:val="annotation text"/>
    <w:basedOn w:val="Standard"/>
    <w:link w:val="KommentartextZchn"/>
    <w:uiPriority w:val="99"/>
    <w:unhideWhenUsed/>
    <w:rsid w:val="002F261C"/>
  </w:style>
  <w:style w:type="character" w:customStyle="1" w:styleId="KommentartextZchn">
    <w:name w:val="Kommentartext Zchn"/>
    <w:basedOn w:val="Absatz-Standardschriftart"/>
    <w:link w:val="Kommentartext"/>
    <w:uiPriority w:val="99"/>
    <w:rsid w:val="002F261C"/>
    <w:rPr>
      <w:rFonts w:ascii="Verdana" w:eastAsia="Times New Roman" w:hAnsi="Verdana" w:cs="Times New Roman"/>
      <w:snapToGrid w:val="0"/>
      <w:sz w:val="20"/>
      <w:szCs w:val="20"/>
      <w:lang w:eastAsia="fi-FI"/>
    </w:rPr>
  </w:style>
  <w:style w:type="paragraph" w:styleId="Kommentarthema">
    <w:name w:val="annotation subject"/>
    <w:basedOn w:val="Kommentartext"/>
    <w:next w:val="Kommentartext"/>
    <w:link w:val="KommentarthemaZchn"/>
    <w:uiPriority w:val="99"/>
    <w:semiHidden/>
    <w:unhideWhenUsed/>
    <w:rsid w:val="002F261C"/>
    <w:rPr>
      <w:b/>
      <w:bCs/>
    </w:rPr>
  </w:style>
  <w:style w:type="character" w:customStyle="1" w:styleId="KommentarthemaZchn">
    <w:name w:val="Kommentarthema Zchn"/>
    <w:basedOn w:val="KommentartextZchn"/>
    <w:link w:val="Kommentarthema"/>
    <w:uiPriority w:val="99"/>
    <w:semiHidden/>
    <w:rsid w:val="002F261C"/>
    <w:rPr>
      <w:rFonts w:ascii="Verdana" w:eastAsia="Times New Roman" w:hAnsi="Verdana" w:cs="Times New Roman"/>
      <w:b/>
      <w:bCs/>
      <w:snapToGrid w:val="0"/>
      <w:sz w:val="20"/>
      <w:szCs w:val="20"/>
      <w:lang w:eastAsia="fi-FI"/>
    </w:rPr>
  </w:style>
  <w:style w:type="paragraph" w:styleId="Kopfzeile">
    <w:name w:val="header"/>
    <w:basedOn w:val="Standard"/>
    <w:link w:val="KopfzeileZchn"/>
    <w:uiPriority w:val="99"/>
    <w:unhideWhenUsed/>
    <w:rsid w:val="00A41F93"/>
    <w:pPr>
      <w:tabs>
        <w:tab w:val="center" w:pos="4513"/>
        <w:tab w:val="right" w:pos="9026"/>
      </w:tabs>
    </w:pPr>
  </w:style>
  <w:style w:type="character" w:customStyle="1" w:styleId="KopfzeileZchn">
    <w:name w:val="Kopfzeile Zchn"/>
    <w:basedOn w:val="Absatz-Standardschriftart"/>
    <w:link w:val="Kopfzeile"/>
    <w:uiPriority w:val="99"/>
    <w:rsid w:val="00A41F93"/>
    <w:rPr>
      <w:rFonts w:ascii="Verdana" w:eastAsia="Times New Roman" w:hAnsi="Verdana" w:cs="Times New Roman"/>
      <w:snapToGrid w:val="0"/>
      <w:sz w:val="20"/>
      <w:szCs w:val="20"/>
      <w:lang w:eastAsia="fi-FI"/>
    </w:rPr>
  </w:style>
  <w:style w:type="paragraph" w:styleId="Fuzeile">
    <w:name w:val="footer"/>
    <w:basedOn w:val="Standard"/>
    <w:link w:val="FuzeileZchn"/>
    <w:uiPriority w:val="99"/>
    <w:unhideWhenUsed/>
    <w:rsid w:val="00A41F93"/>
    <w:pPr>
      <w:tabs>
        <w:tab w:val="center" w:pos="4513"/>
        <w:tab w:val="right" w:pos="9026"/>
      </w:tabs>
    </w:pPr>
  </w:style>
  <w:style w:type="character" w:customStyle="1" w:styleId="FuzeileZchn">
    <w:name w:val="Fußzeile Zchn"/>
    <w:basedOn w:val="Absatz-Standardschriftart"/>
    <w:link w:val="Fuzeile"/>
    <w:uiPriority w:val="99"/>
    <w:rsid w:val="00A41F93"/>
    <w:rPr>
      <w:rFonts w:ascii="Verdana" w:eastAsia="Times New Roman" w:hAnsi="Verdana" w:cs="Times New Roman"/>
      <w:snapToGrid w:val="0"/>
      <w:sz w:val="20"/>
      <w:szCs w:val="20"/>
      <w:lang w:eastAsia="fi-FI"/>
    </w:rPr>
  </w:style>
  <w:style w:type="character" w:styleId="Hyperlink">
    <w:name w:val="Hyperlink"/>
    <w:basedOn w:val="Absatz-Standardschriftart"/>
    <w:uiPriority w:val="99"/>
    <w:rsid w:val="002E4026"/>
    <w:rPr>
      <w:rFonts w:ascii="Verdana" w:hAnsi="Verdana"/>
      <w:color w:val="0000FF"/>
      <w:sz w:val="20"/>
      <w:u w:val="single"/>
    </w:rPr>
  </w:style>
  <w:style w:type="character" w:styleId="BesuchterLink">
    <w:name w:val="FollowedHyperlink"/>
    <w:basedOn w:val="Absatz-Standardschriftart"/>
    <w:uiPriority w:val="99"/>
    <w:semiHidden/>
    <w:unhideWhenUsed/>
    <w:rsid w:val="00A03E87"/>
    <w:rPr>
      <w:color w:val="800080" w:themeColor="followedHyperlink"/>
      <w:u w:val="single"/>
    </w:rPr>
  </w:style>
  <w:style w:type="table" w:styleId="Tabellenraster">
    <w:name w:val="Table Grid"/>
    <w:basedOn w:val="NormaleTabelle"/>
    <w:uiPriority w:val="99"/>
    <w:rsid w:val="00E7554F"/>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ED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eschriftung">
    <w:name w:val="caption"/>
    <w:aliases w:val="Caption Table"/>
    <w:next w:val="Textkrper"/>
    <w:link w:val="BeschriftungZchn"/>
    <w:qFormat/>
    <w:rsid w:val="004A7ED0"/>
    <w:pPr>
      <w:keepNext/>
      <w:spacing w:before="120" w:after="90" w:line="240" w:lineRule="auto"/>
      <w:ind w:left="57"/>
    </w:pPr>
    <w:rPr>
      <w:rFonts w:ascii="Times New Roman Bold" w:eastAsia="Times New Roman" w:hAnsi="Times New Roman Bold" w:cs="Times New Roman"/>
      <w:bCs/>
      <w:sz w:val="24"/>
      <w:szCs w:val="20"/>
    </w:rPr>
  </w:style>
  <w:style w:type="character" w:customStyle="1" w:styleId="BeschriftungZchn">
    <w:name w:val="Beschriftung Zchn"/>
    <w:aliases w:val="Caption Table Zchn"/>
    <w:link w:val="Beschriftung"/>
    <w:rsid w:val="004A7ED0"/>
    <w:rPr>
      <w:rFonts w:ascii="Times New Roman Bold" w:eastAsia="Times New Roman" w:hAnsi="Times New Roman Bold"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f5d36f70-e0f3-95ba-b9b7-69a9582c3839" TargetMode="External"/><Relationship Id="rId2" Type="http://schemas.openxmlformats.org/officeDocument/2006/relationships/hyperlink" Target="https://echa.europa.eu/documents/10162/62a741f6-6183-8f70-431d-ea4f8794377b" TargetMode="External"/><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2.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3.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5.xml><?xml version="1.0" encoding="utf-8"?>
<ds:datastoreItem xmlns:ds="http://schemas.openxmlformats.org/officeDocument/2006/customXml" ds:itemID="{FB8C6060-E70E-4A37-913A-A00BF7D052E3}">
  <ds:schemaRefs>
    <ds:schemaRef ds:uri="http://schemas.openxmlformats.org/package/2006/metadata/core-properties"/>
    <ds:schemaRef ds:uri="http://schemas.microsoft.com/office/2006/documentManagement/types"/>
    <ds:schemaRef ds:uri="http://schemas.microsoft.com/office/infopath/2007/PartnerControls"/>
    <ds:schemaRef ds:uri="4811b924-dee2-413a-bdc8-2cc023473c17"/>
    <ds:schemaRef ds:uri="http://purl.org/dc/elements/1.1/"/>
    <ds:schemaRef ds:uri="http://schemas.microsoft.com/office/2006/metadata/properties"/>
    <ds:schemaRef ds:uri="http://purl.org/dc/terms/"/>
    <ds:schemaRef ds:uri="b80ede5c-af4c-4bf2-9a87-706a3579dc11"/>
    <ds:schemaRef ds:uri="http://www.w3.org/XML/1998/namespace"/>
    <ds:schemaRef ds:uri="http://purl.org/dc/dcmitype/"/>
  </ds:schemaRefs>
</ds:datastoreItem>
</file>

<file path=customXml/itemProps6.xml><?xml version="1.0" encoding="utf-8"?>
<ds:datastoreItem xmlns:ds="http://schemas.openxmlformats.org/officeDocument/2006/customXml" ds:itemID="{71A35713-B867-4877-82FC-1A0314F5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7552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Stocker Eva</cp:lastModifiedBy>
  <cp:revision>11</cp:revision>
  <cp:lastPrinted>2015-08-11T11:20:00Z</cp:lastPrinted>
  <dcterms:created xsi:type="dcterms:W3CDTF">2021-06-15T07:47:00Z</dcterms:created>
  <dcterms:modified xsi:type="dcterms:W3CDTF">2021-06-17T11:05:00Z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