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996" w14:textId="77777777" w:rsidR="00F57736" w:rsidRPr="003016DF" w:rsidRDefault="00E86372" w:rsidP="00F57736">
      <w:r>
        <w:rPr>
          <w:rFonts w:eastAsiaTheme="minorHAnsi"/>
          <w:noProof/>
          <w:szCs w:val="24"/>
          <w:lang w:val="sv-SE" w:eastAsia="sv-SE"/>
        </w:rPr>
        <mc:AlternateContent>
          <mc:Choice Requires="wps">
            <w:drawing>
              <wp:anchor distT="91440" distB="91440" distL="114300" distR="114300" simplePos="0" relativeHeight="251659264" behindDoc="0" locked="0" layoutInCell="0" allowOverlap="1" wp14:anchorId="68353A5A" wp14:editId="6A45CAAE">
                <wp:simplePos x="0" y="0"/>
                <wp:positionH relativeFrom="margin">
                  <wp:posOffset>3047365</wp:posOffset>
                </wp:positionH>
                <wp:positionV relativeFrom="margin">
                  <wp:posOffset>419100</wp:posOffset>
                </wp:positionV>
                <wp:extent cx="2409825" cy="1341120"/>
                <wp:effectExtent l="0" t="0" r="0" b="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noFill/>
                          <a:miter lim="800000"/>
                          <a:headEnd/>
                          <a:tailEnd/>
                        </a:ln>
                        <a:effectLst/>
                      </wps:spPr>
                      <wps:txbx>
                        <w:txbxContent>
                          <w:p w14:paraId="68353A6C" w14:textId="2458700C" w:rsidR="00E86372" w:rsidRDefault="009F209D" w:rsidP="00E86372">
                            <w:pPr>
                              <w:rPr>
                                <w:color w:val="4F81BD" w:themeColor="accent1"/>
                              </w:rPr>
                            </w:pPr>
                            <w:r>
                              <w:rPr>
                                <w:color w:val="4F81BD" w:themeColor="accent1"/>
                              </w:rPr>
                              <w:t xml:space="preserve">       </w:t>
                            </w:r>
                            <w:r w:rsidRPr="00A710E4">
                              <w:rPr>
                                <w:noProof/>
                              </w:rPr>
                              <w:drawing>
                                <wp:inline distT="0" distB="0" distL="0" distR="0" wp14:anchorId="7C793EBB" wp14:editId="52687C40">
                                  <wp:extent cx="1409700" cy="762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762000"/>
                                          </a:xfrm>
                                          <a:prstGeom prst="rect">
                                            <a:avLst/>
                                          </a:prstGeom>
                                          <a:noFill/>
                                          <a:ln>
                                            <a:noFill/>
                                          </a:ln>
                                        </pic:spPr>
                                      </pic:pic>
                                    </a:graphicData>
                                  </a:graphic>
                                </wp:inline>
                              </w:drawing>
                            </w:r>
                          </w:p>
                          <w:p w14:paraId="68353A6D" w14:textId="28722849" w:rsidR="00E86372" w:rsidRDefault="009F209D" w:rsidP="00E86372">
                            <w:pPr>
                              <w:rPr>
                                <w:color w:val="4F81BD" w:themeColor="accent1"/>
                              </w:rPr>
                            </w:pPr>
                            <w:r>
                              <w:rPr>
                                <w:color w:val="4F81BD" w:themeColor="accent1"/>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" o:allowincell="f" filled="f" stroked="f">
                <v:textbox inset="21.6pt,21.6pt,21.6pt,21.6pt">
                  <w:txbxContent>
                    <w:p w14:paraId="68353A6C" w14:textId="2458700C" w:rsidR="00E86372" w:rsidRDefault="009F209D" w:rsidP="00E86372">
                      <w:pPr>
                        <w:rPr>
                          <w:color w:val="4F81BD" w:themeColor="accent1"/>
                        </w:rPr>
                      </w:pPr>
                      <w:r>
                        <w:rPr>
                          <w:color w:val="4F81BD" w:themeColor="accent1"/>
                        </w:rPr>
                        <w:t xml:space="preserve">       </w:t>
                      </w:r>
                      <w:r w:rsidRPr="00A710E4">
                        <w:rPr>
                          <w:noProof/>
                        </w:rPr>
                        <w:drawing>
                          <wp:inline distT="0" distB="0" distL="0" distR="0" wp14:anchorId="7C793EBB" wp14:editId="52687C40">
                            <wp:extent cx="1409700" cy="762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762000"/>
                                    </a:xfrm>
                                    <a:prstGeom prst="rect">
                                      <a:avLst/>
                                    </a:prstGeom>
                                    <a:noFill/>
                                    <a:ln>
                                      <a:noFill/>
                                    </a:ln>
                                  </pic:spPr>
                                </pic:pic>
                              </a:graphicData>
                            </a:graphic>
                          </wp:inline>
                        </w:drawing>
                      </w:r>
                    </w:p>
                    <w:p w14:paraId="68353A6D" w14:textId="28722849" w:rsidR="00E86372" w:rsidRDefault="009F209D" w:rsidP="00E86372">
                      <w:pPr>
                        <w:rPr>
                          <w:color w:val="4F81BD" w:themeColor="accent1"/>
                        </w:rPr>
                      </w:pPr>
                      <w:r>
                        <w:rPr>
                          <w:color w:val="4F81BD" w:themeColor="accent1"/>
                        </w:rPr>
                        <w:t xml:space="preserve"> </w:t>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rdtext"/>
        <w:rPr>
          <w:b/>
        </w:rPr>
      </w:pPr>
    </w:p>
    <w:p w14:paraId="683539A4" w14:textId="2D0BCDA6" w:rsidR="00E86372" w:rsidRPr="00937276" w:rsidRDefault="00E86372" w:rsidP="00E86372">
      <w:pPr>
        <w:pStyle w:val="Brdtext"/>
      </w:pPr>
      <w:r>
        <w:rPr>
          <w:b/>
        </w:rPr>
        <w:t>Substance Name</w:t>
      </w:r>
      <w:r w:rsidRPr="003607CA">
        <w:rPr>
          <w:b/>
        </w:rPr>
        <w:t>:</w:t>
      </w:r>
      <w:r w:rsidR="009F209D">
        <w:rPr>
          <w:b/>
        </w:rPr>
        <w:t xml:space="preserve"> </w:t>
      </w:r>
      <w:r w:rsidR="009F209D" w:rsidRPr="009F209D">
        <w:rPr>
          <w:b/>
        </w:rPr>
        <w:t xml:space="preserve">Barium </w:t>
      </w:r>
      <w:proofErr w:type="spellStart"/>
      <w:r w:rsidR="009F209D" w:rsidRPr="009F209D">
        <w:rPr>
          <w:b/>
        </w:rPr>
        <w:t>diboron</w:t>
      </w:r>
      <w:proofErr w:type="spellEnd"/>
      <w:r w:rsidR="009F209D" w:rsidRPr="009F209D">
        <w:rPr>
          <w:b/>
        </w:rPr>
        <w:t xml:space="preserve"> </w:t>
      </w:r>
      <w:proofErr w:type="spellStart"/>
      <w:r w:rsidR="009F209D" w:rsidRPr="009F209D">
        <w:rPr>
          <w:b/>
        </w:rPr>
        <w:t>tetraoxide</w:t>
      </w:r>
      <w:proofErr w:type="spellEnd"/>
    </w:p>
    <w:p w14:paraId="683539A5" w14:textId="44886271" w:rsidR="00E86372" w:rsidRPr="00937276" w:rsidRDefault="00E86372" w:rsidP="00E86372">
      <w:pPr>
        <w:pStyle w:val="Brdtext"/>
      </w:pPr>
      <w:r w:rsidRPr="003607CA">
        <w:rPr>
          <w:b/>
        </w:rPr>
        <w:t>EC Number:</w:t>
      </w:r>
      <w:r w:rsidR="009F209D">
        <w:rPr>
          <w:b/>
        </w:rPr>
        <w:t xml:space="preserve"> </w:t>
      </w:r>
      <w:r w:rsidR="009F209D" w:rsidRPr="009F209D">
        <w:rPr>
          <w:b/>
        </w:rPr>
        <w:t>237-222-4</w:t>
      </w:r>
    </w:p>
    <w:p w14:paraId="683539A6" w14:textId="43A0EDEC" w:rsidR="00E86372" w:rsidRPr="00937276" w:rsidRDefault="00E86372" w:rsidP="00E86372">
      <w:pPr>
        <w:pStyle w:val="Brdtext"/>
        <w:rPr>
          <w:sz w:val="32"/>
        </w:rPr>
      </w:pPr>
      <w:r w:rsidRPr="003607CA">
        <w:rPr>
          <w:b/>
        </w:rPr>
        <w:t>CAS Number:</w:t>
      </w:r>
      <w:r w:rsidR="009F209D">
        <w:rPr>
          <w:b/>
        </w:rPr>
        <w:t xml:space="preserve"> </w:t>
      </w:r>
      <w:r w:rsidR="009F209D" w:rsidRPr="009F209D">
        <w:rPr>
          <w:b/>
        </w:rPr>
        <w:t>13701-59-2</w:t>
      </w:r>
    </w:p>
    <w:p w14:paraId="683539A7" w14:textId="77777777" w:rsidR="00E86372" w:rsidRDefault="00E86372" w:rsidP="00E86372">
      <w:pPr>
        <w:pStyle w:val="Brdtext"/>
        <w:rPr>
          <w:b/>
          <w:sz w:val="32"/>
        </w:rPr>
      </w:pPr>
    </w:p>
    <w:p w14:paraId="683539A8" w14:textId="53F1E447" w:rsidR="00E86372" w:rsidRDefault="00E86372" w:rsidP="00E86372">
      <w:pPr>
        <w:pStyle w:val="Brdtext"/>
        <w:rPr>
          <w:b/>
          <w:sz w:val="32"/>
        </w:rPr>
      </w:pPr>
      <w:r w:rsidRPr="006119A2">
        <w:rPr>
          <w:b/>
        </w:rPr>
        <w:t>Authority:</w:t>
      </w:r>
      <w:r w:rsidR="009F209D">
        <w:rPr>
          <w:b/>
        </w:rPr>
        <w:t xml:space="preserve"> </w:t>
      </w:r>
      <w:r w:rsidR="009F209D" w:rsidRPr="009F209D">
        <w:rPr>
          <w:b/>
        </w:rPr>
        <w:t>Swedish Chemicals Agency</w:t>
      </w:r>
    </w:p>
    <w:p w14:paraId="683539A9" w14:textId="5E573556" w:rsidR="00E86372" w:rsidRDefault="00E86372" w:rsidP="00E86372">
      <w:pPr>
        <w:pStyle w:val="Brdtext"/>
        <w:rPr>
          <w:b/>
        </w:rPr>
      </w:pPr>
      <w:r w:rsidRPr="00FE0A7A">
        <w:rPr>
          <w:b/>
        </w:rPr>
        <w:t>Date:</w:t>
      </w:r>
      <w:r w:rsidR="009F209D" w:rsidRPr="00FE0A7A">
        <w:rPr>
          <w:b/>
          <w:lang w:eastAsia="en-GB"/>
        </w:rPr>
        <w:t xml:space="preserve"> </w:t>
      </w:r>
      <w:r w:rsidR="00FE0A7A" w:rsidRPr="00FE0A7A">
        <w:rPr>
          <w:b/>
          <w:lang w:eastAsia="en-GB"/>
        </w:rPr>
        <w:t>7 March</w:t>
      </w:r>
      <w:r w:rsidR="009F209D" w:rsidRPr="00FE0A7A">
        <w:rPr>
          <w:b/>
          <w:lang w:eastAsia="en-GB"/>
        </w:rPr>
        <w:t xml:space="preserve"> 2022</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4"/>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5"/>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proofErr w:type="gramStart"/>
      <w:r>
        <w:t>decision making</w:t>
      </w:r>
      <w:proofErr w:type="gramEnd"/>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 xml:space="preserve">to conclude whether regulatory risk management activities are required for a </w:t>
      </w:r>
      <w:proofErr w:type="gramStart"/>
      <w:r>
        <w:t>substance</w:t>
      </w:r>
      <w:proofErr w:type="gramEnd"/>
      <w:r>
        <w:t xml:space="preserv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Rubrik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683539CB" w14:textId="442B324A" w:rsidR="00E86372" w:rsidRDefault="002367F9" w:rsidP="002367F9">
      <w:pPr>
        <w:pStyle w:val="Brdtext"/>
        <w:spacing w:after="0"/>
        <w:ind w:right="-477"/>
        <w:rPr>
          <w:iCs/>
        </w:rPr>
      </w:pPr>
      <w:r w:rsidRPr="009B4160">
        <w:rPr>
          <w:iCs/>
        </w:rPr>
        <w:t xml:space="preserve">Barium </w:t>
      </w:r>
      <w:proofErr w:type="spellStart"/>
      <w:r w:rsidRPr="009B4160">
        <w:rPr>
          <w:iCs/>
        </w:rPr>
        <w:t>diboron</w:t>
      </w:r>
      <w:proofErr w:type="spellEnd"/>
      <w:r w:rsidRPr="009B4160">
        <w:rPr>
          <w:iCs/>
        </w:rPr>
        <w:t xml:space="preserve"> </w:t>
      </w:r>
      <w:proofErr w:type="spellStart"/>
      <w:r w:rsidRPr="009B4160">
        <w:rPr>
          <w:iCs/>
        </w:rPr>
        <w:t>tetraoxide</w:t>
      </w:r>
      <w:proofErr w:type="spellEnd"/>
      <w:r w:rsidRPr="009B4160">
        <w:rPr>
          <w:iCs/>
        </w:rPr>
        <w:t xml:space="preserve"> currently has a harmonised classification as Acute Tox 4, H302</w:t>
      </w:r>
      <w:r>
        <w:rPr>
          <w:iCs/>
        </w:rPr>
        <w:t xml:space="preserve"> </w:t>
      </w:r>
      <w:r w:rsidRPr="009B4160">
        <w:rPr>
          <w:iCs/>
        </w:rPr>
        <w:t>(oral) and H332</w:t>
      </w:r>
      <w:r>
        <w:rPr>
          <w:iCs/>
        </w:rPr>
        <w:t xml:space="preserve"> </w:t>
      </w:r>
      <w:r w:rsidRPr="009B4160">
        <w:rPr>
          <w:iCs/>
        </w:rPr>
        <w:t xml:space="preserve">(inhalation) based on </w:t>
      </w:r>
      <w:r>
        <w:rPr>
          <w:iCs/>
        </w:rPr>
        <w:t xml:space="preserve">the group entry </w:t>
      </w:r>
      <w:r w:rsidRPr="002A4EC1">
        <w:rPr>
          <w:iCs/>
        </w:rPr>
        <w:t>“barium salts, with the exception of barium sulphate, salts of 1-azo-2-hydroxynaphthalenyl aryl sulphonic acid, and of salts specified elsewhere in Annex VI of EC No 1272/2008”</w:t>
      </w:r>
      <w:r>
        <w:rPr>
          <w:iCs/>
        </w:rPr>
        <w:t xml:space="preserve">. As of </w:t>
      </w:r>
      <w:r w:rsidRPr="008B132F">
        <w:rPr>
          <w:iCs/>
        </w:rPr>
        <w:t>the 1</w:t>
      </w:r>
      <w:r>
        <w:rPr>
          <w:iCs/>
        </w:rPr>
        <w:t>8</w:t>
      </w:r>
      <w:r w:rsidRPr="008B132F">
        <w:rPr>
          <w:iCs/>
        </w:rPr>
        <w:t xml:space="preserve">th ATP to Annex VI of CLP </w:t>
      </w:r>
      <w:r>
        <w:rPr>
          <w:iCs/>
        </w:rPr>
        <w:t>(</w:t>
      </w:r>
      <w:r w:rsidRPr="00877EC7">
        <w:rPr>
          <w:iCs/>
        </w:rPr>
        <w:t>adopted by the Commission but not yet published in the EU Official Journal</w:t>
      </w:r>
      <w:r>
        <w:rPr>
          <w:iCs/>
        </w:rPr>
        <w:t>) b</w:t>
      </w:r>
      <w:r w:rsidRPr="008B132F">
        <w:rPr>
          <w:iCs/>
        </w:rPr>
        <w:t xml:space="preserve">arium </w:t>
      </w:r>
      <w:proofErr w:type="spellStart"/>
      <w:r w:rsidRPr="00E228F7">
        <w:rPr>
          <w:iCs/>
        </w:rPr>
        <w:t>diboron</w:t>
      </w:r>
      <w:proofErr w:type="spellEnd"/>
      <w:r w:rsidRPr="00E228F7">
        <w:rPr>
          <w:iCs/>
        </w:rPr>
        <w:t xml:space="preserve"> </w:t>
      </w:r>
      <w:proofErr w:type="spellStart"/>
      <w:r w:rsidRPr="00E228F7">
        <w:rPr>
          <w:iCs/>
        </w:rPr>
        <w:t>tetraoxide</w:t>
      </w:r>
      <w:proofErr w:type="spellEnd"/>
      <w:r w:rsidRPr="00E228F7">
        <w:rPr>
          <w:iCs/>
        </w:rPr>
        <w:t xml:space="preserve"> </w:t>
      </w:r>
      <w:r>
        <w:rPr>
          <w:iCs/>
        </w:rPr>
        <w:t xml:space="preserve">will be separated from the group entry since it </w:t>
      </w:r>
      <w:r w:rsidRPr="00E228F7">
        <w:rPr>
          <w:iCs/>
        </w:rPr>
        <w:t>is included in a</w:t>
      </w:r>
      <w:r>
        <w:rPr>
          <w:iCs/>
        </w:rPr>
        <w:t xml:space="preserve"> separate entry </w:t>
      </w:r>
      <w:r w:rsidRPr="00E73701">
        <w:rPr>
          <w:iCs/>
        </w:rPr>
        <w:t xml:space="preserve">as toxic </w:t>
      </w:r>
      <w:r>
        <w:rPr>
          <w:iCs/>
        </w:rPr>
        <w:t>to</w:t>
      </w:r>
      <w:r w:rsidRPr="00E73701">
        <w:rPr>
          <w:iCs/>
        </w:rPr>
        <w:t xml:space="preserve"> reproduction category 1B </w:t>
      </w:r>
      <w:r>
        <w:rPr>
          <w:iCs/>
        </w:rPr>
        <w:t>(</w:t>
      </w:r>
      <w:r w:rsidRPr="00E73701">
        <w:rPr>
          <w:iCs/>
        </w:rPr>
        <w:t>H360FD</w:t>
      </w:r>
      <w:r>
        <w:rPr>
          <w:iCs/>
        </w:rPr>
        <w:t xml:space="preserve">), acute inhalation toxicity category 4 (H332) and </w:t>
      </w:r>
      <w:r w:rsidRPr="00110507">
        <w:rPr>
          <w:iCs/>
        </w:rPr>
        <w:t xml:space="preserve">acute </w:t>
      </w:r>
      <w:r>
        <w:rPr>
          <w:iCs/>
        </w:rPr>
        <w:t xml:space="preserve">oral </w:t>
      </w:r>
      <w:r w:rsidRPr="00110507">
        <w:rPr>
          <w:iCs/>
        </w:rPr>
        <w:t xml:space="preserve">toxicity category </w:t>
      </w:r>
      <w:r>
        <w:rPr>
          <w:iCs/>
        </w:rPr>
        <w:t>3</w:t>
      </w:r>
      <w:r w:rsidRPr="00110507">
        <w:rPr>
          <w:iCs/>
        </w:rPr>
        <w:t xml:space="preserve"> (H30</w:t>
      </w:r>
      <w:r>
        <w:rPr>
          <w:iCs/>
        </w:rPr>
        <w:t>1</w:t>
      </w:r>
      <w:r w:rsidRPr="00110507">
        <w:rPr>
          <w:iCs/>
        </w:rPr>
        <w:t>)</w:t>
      </w:r>
      <w:r>
        <w:rPr>
          <w:iCs/>
        </w:rPr>
        <w:t>.</w:t>
      </w:r>
    </w:p>
    <w:p w14:paraId="48350DE9" w14:textId="77777777" w:rsidR="002367F9" w:rsidRPr="002367F9" w:rsidRDefault="002367F9" w:rsidP="002367F9">
      <w:pPr>
        <w:pStyle w:val="Brdtext"/>
        <w:spacing w:after="0"/>
        <w:ind w:right="-477"/>
        <w:rPr>
          <w:iCs/>
        </w:rPr>
      </w:pPr>
    </w:p>
    <w:p w14:paraId="683539CC" w14:textId="77777777" w:rsidR="00BE5AF4" w:rsidRPr="000711F7" w:rsidRDefault="00BE5AF4" w:rsidP="00BE5AF4">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 xml:space="preserve">This conclusion is based on the REACH and CLP data as well as other available relevant information </w:t>
      </w:r>
      <w:proofErr w:type="gramStart"/>
      <w:r w:rsidRPr="00D53A3D">
        <w:t>taking into account</w:t>
      </w:r>
      <w:proofErr w:type="gramEnd"/>
      <w:r w:rsidRPr="00D53A3D">
        <w:t xml:space="preserve"> the SVHC Roadmap to 2020, where appropriate.</w:t>
      </w: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167D8973" w:rsidR="00B2524D" w:rsidRPr="00B2524D" w:rsidRDefault="00136A08" w:rsidP="00B2524D">
            <w:pPr>
              <w:jc w:val="center"/>
            </w:pPr>
            <w:r>
              <w:t>x</w:t>
            </w: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rdtext"/>
      </w:pPr>
    </w:p>
    <w:p w14:paraId="68353A01" w14:textId="77777777" w:rsidR="00A446BC" w:rsidRDefault="00A446BC" w:rsidP="00471457"/>
    <w:p w14:paraId="68353A02" w14:textId="77777777" w:rsidR="00A446BC" w:rsidRPr="006E3CBA" w:rsidRDefault="00A446BC" w:rsidP="00471457"/>
    <w:p w14:paraId="68353A11" w14:textId="0EA05A51" w:rsidR="004F6831" w:rsidRPr="00136A08" w:rsidRDefault="00AF77F1" w:rsidP="004F6831">
      <w:pPr>
        <w:pStyle w:val="Rubrik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bookmarkStart w:id="1" w:name="_Toc357683639"/>
    </w:p>
    <w:p w14:paraId="68353A13" w14:textId="0D1388AD" w:rsidR="004F6831" w:rsidRPr="000B38AF" w:rsidRDefault="008A1880" w:rsidP="00270FFE">
      <w:pPr>
        <w:pStyle w:val="Rubrik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Identification as a substance of very high concern, SVHC (first step towards authorisation)</w:t>
      </w:r>
    </w:p>
    <w:p w14:paraId="657DF26B" w14:textId="77777777" w:rsidR="000B38AF" w:rsidRPr="00136A08" w:rsidRDefault="000B38AF" w:rsidP="000B38AF">
      <w:pPr>
        <w:keepNext/>
        <w:widowControl/>
        <w:spacing w:before="120" w:after="90"/>
        <w:rPr>
          <w:b/>
          <w:bCs/>
          <w:snapToGrid/>
          <w:lang w:eastAsia="en-US"/>
        </w:rPr>
      </w:pPr>
      <w:r w:rsidRPr="00136A08">
        <w:rPr>
          <w:b/>
          <w:bCs/>
          <w:snapToGrid/>
          <w:lang w:eastAsia="en-US"/>
        </w:rPr>
        <w:t>SVHC Roadmap 2020 criteria</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1537"/>
        <w:gridCol w:w="1259"/>
      </w:tblGrid>
      <w:tr w:rsidR="000B38AF" w:rsidRPr="00136A08" w14:paraId="5ACD9629" w14:textId="77777777" w:rsidTr="00666A37">
        <w:tc>
          <w:tcPr>
            <w:tcW w:w="5313" w:type="dxa"/>
            <w:shd w:val="clear" w:color="auto" w:fill="auto"/>
          </w:tcPr>
          <w:p w14:paraId="2BC9E284" w14:textId="77777777" w:rsidR="000B38AF" w:rsidRPr="00136A08" w:rsidRDefault="000B38AF" w:rsidP="00666A37">
            <w:pPr>
              <w:widowControl/>
              <w:spacing w:after="180"/>
              <w:ind w:left="360"/>
              <w:contextualSpacing/>
              <w:rPr>
                <w:snapToGrid/>
                <w:lang w:val="en-US" w:eastAsia="en-US"/>
              </w:rPr>
            </w:pPr>
          </w:p>
        </w:tc>
        <w:tc>
          <w:tcPr>
            <w:tcW w:w="1537" w:type="dxa"/>
            <w:shd w:val="clear" w:color="auto" w:fill="auto"/>
          </w:tcPr>
          <w:p w14:paraId="7B03AE27" w14:textId="77777777" w:rsidR="000B38AF" w:rsidRPr="00136A08" w:rsidRDefault="000B38AF" w:rsidP="00666A37">
            <w:pPr>
              <w:widowControl/>
              <w:spacing w:after="180"/>
              <w:jc w:val="center"/>
              <w:rPr>
                <w:snapToGrid/>
                <w:lang w:val="en-US" w:eastAsia="en-US"/>
              </w:rPr>
            </w:pPr>
            <w:r w:rsidRPr="00136A08">
              <w:rPr>
                <w:snapToGrid/>
                <w:lang w:val="en-US" w:eastAsia="en-US"/>
              </w:rPr>
              <w:t>Yes</w:t>
            </w:r>
          </w:p>
        </w:tc>
        <w:tc>
          <w:tcPr>
            <w:tcW w:w="1259" w:type="dxa"/>
            <w:shd w:val="clear" w:color="auto" w:fill="auto"/>
          </w:tcPr>
          <w:p w14:paraId="573D03F4" w14:textId="77777777" w:rsidR="000B38AF" w:rsidRPr="00136A08" w:rsidRDefault="000B38AF" w:rsidP="00666A37">
            <w:pPr>
              <w:widowControl/>
              <w:spacing w:after="180"/>
              <w:jc w:val="center"/>
              <w:rPr>
                <w:snapToGrid/>
                <w:lang w:val="en-US" w:eastAsia="en-US"/>
              </w:rPr>
            </w:pPr>
            <w:r w:rsidRPr="00136A08">
              <w:rPr>
                <w:snapToGrid/>
                <w:lang w:val="en-US" w:eastAsia="en-US"/>
              </w:rPr>
              <w:t>No</w:t>
            </w:r>
          </w:p>
        </w:tc>
      </w:tr>
      <w:tr w:rsidR="000B38AF" w:rsidRPr="00136A08" w14:paraId="0B7BB2F6" w14:textId="77777777" w:rsidTr="00666A37">
        <w:tc>
          <w:tcPr>
            <w:tcW w:w="5313" w:type="dxa"/>
            <w:shd w:val="clear" w:color="auto" w:fill="auto"/>
          </w:tcPr>
          <w:p w14:paraId="1C0679AA" w14:textId="77777777" w:rsidR="000B38AF" w:rsidRPr="00136A08" w:rsidRDefault="000B38AF" w:rsidP="00666A37">
            <w:pPr>
              <w:widowControl/>
              <w:spacing w:after="180"/>
              <w:rPr>
                <w:snapToGrid/>
                <w:lang w:val="en-US" w:eastAsia="en-US"/>
              </w:rPr>
            </w:pPr>
            <w:r w:rsidRPr="00136A08">
              <w:rPr>
                <w:snapToGrid/>
                <w:lang w:val="en-US" w:eastAsia="en-US"/>
              </w:rPr>
              <w:t>a) Art 57 criteria fulfilled?</w:t>
            </w:r>
          </w:p>
        </w:tc>
        <w:tc>
          <w:tcPr>
            <w:tcW w:w="1537" w:type="dxa"/>
            <w:shd w:val="clear" w:color="auto" w:fill="auto"/>
          </w:tcPr>
          <w:p w14:paraId="3F762F45" w14:textId="77777777" w:rsidR="000B38AF" w:rsidRPr="00136A08" w:rsidRDefault="000B38AF" w:rsidP="00666A37">
            <w:pPr>
              <w:widowControl/>
              <w:spacing w:after="180"/>
              <w:jc w:val="center"/>
              <w:rPr>
                <w:snapToGrid/>
                <w:lang w:val="en-US" w:eastAsia="en-US"/>
              </w:rPr>
            </w:pPr>
            <w:r w:rsidRPr="00136A08">
              <w:rPr>
                <w:snapToGrid/>
                <w:lang w:val="en-US" w:eastAsia="en-US"/>
              </w:rPr>
              <w:t>√</w:t>
            </w:r>
          </w:p>
        </w:tc>
        <w:tc>
          <w:tcPr>
            <w:tcW w:w="1259" w:type="dxa"/>
            <w:shd w:val="clear" w:color="auto" w:fill="auto"/>
          </w:tcPr>
          <w:p w14:paraId="340052F8" w14:textId="77777777" w:rsidR="000B38AF" w:rsidRPr="00136A08" w:rsidRDefault="000B38AF" w:rsidP="00666A37">
            <w:pPr>
              <w:widowControl/>
              <w:spacing w:after="180"/>
              <w:rPr>
                <w:snapToGrid/>
                <w:lang w:val="en-US" w:eastAsia="en-US"/>
              </w:rPr>
            </w:pPr>
          </w:p>
        </w:tc>
      </w:tr>
      <w:tr w:rsidR="000B38AF" w:rsidRPr="00136A08" w14:paraId="1B73BAFC" w14:textId="77777777" w:rsidTr="00666A37">
        <w:tc>
          <w:tcPr>
            <w:tcW w:w="5313" w:type="dxa"/>
            <w:shd w:val="clear" w:color="auto" w:fill="auto"/>
          </w:tcPr>
          <w:p w14:paraId="238D4A0E" w14:textId="77777777" w:rsidR="000B38AF" w:rsidRPr="00136A08" w:rsidRDefault="000B38AF" w:rsidP="00666A37">
            <w:pPr>
              <w:widowControl/>
              <w:spacing w:after="180"/>
              <w:rPr>
                <w:snapToGrid/>
                <w:lang w:val="en-US" w:eastAsia="en-US"/>
              </w:rPr>
            </w:pPr>
            <w:r w:rsidRPr="00136A08">
              <w:rPr>
                <w:snapToGrid/>
                <w:lang w:val="en-US" w:eastAsia="en-US"/>
              </w:rPr>
              <w:t>b) Registrations in accordance with Article 10?</w:t>
            </w:r>
          </w:p>
        </w:tc>
        <w:tc>
          <w:tcPr>
            <w:tcW w:w="1537" w:type="dxa"/>
            <w:shd w:val="clear" w:color="auto" w:fill="auto"/>
          </w:tcPr>
          <w:p w14:paraId="7E5EC7E2" w14:textId="77777777" w:rsidR="000B38AF" w:rsidRPr="00136A08" w:rsidRDefault="000B38AF" w:rsidP="00666A37">
            <w:pPr>
              <w:widowControl/>
              <w:spacing w:after="180"/>
              <w:jc w:val="center"/>
              <w:rPr>
                <w:snapToGrid/>
                <w:lang w:val="en-US" w:eastAsia="en-US"/>
              </w:rPr>
            </w:pPr>
            <w:r w:rsidRPr="00136A08">
              <w:rPr>
                <w:snapToGrid/>
                <w:lang w:val="en-US" w:eastAsia="en-US"/>
              </w:rPr>
              <w:t>√</w:t>
            </w:r>
          </w:p>
        </w:tc>
        <w:tc>
          <w:tcPr>
            <w:tcW w:w="1259" w:type="dxa"/>
            <w:shd w:val="clear" w:color="auto" w:fill="auto"/>
          </w:tcPr>
          <w:p w14:paraId="15273046" w14:textId="77777777" w:rsidR="000B38AF" w:rsidRPr="00136A08" w:rsidRDefault="000B38AF" w:rsidP="00666A37">
            <w:pPr>
              <w:widowControl/>
              <w:spacing w:after="180"/>
              <w:rPr>
                <w:snapToGrid/>
                <w:lang w:val="en-US" w:eastAsia="en-US"/>
              </w:rPr>
            </w:pPr>
          </w:p>
        </w:tc>
      </w:tr>
      <w:tr w:rsidR="000B38AF" w:rsidRPr="00136A08" w14:paraId="631CC883" w14:textId="77777777" w:rsidTr="00666A37">
        <w:tc>
          <w:tcPr>
            <w:tcW w:w="5313" w:type="dxa"/>
            <w:shd w:val="clear" w:color="auto" w:fill="auto"/>
          </w:tcPr>
          <w:p w14:paraId="41D908F3" w14:textId="77777777" w:rsidR="000B38AF" w:rsidRPr="00136A08" w:rsidRDefault="000B38AF" w:rsidP="00666A37">
            <w:pPr>
              <w:widowControl/>
              <w:spacing w:after="180"/>
              <w:rPr>
                <w:snapToGrid/>
                <w:lang w:val="en-US" w:eastAsia="en-US"/>
              </w:rPr>
            </w:pPr>
            <w:r w:rsidRPr="00136A08">
              <w:rPr>
                <w:snapToGrid/>
                <w:lang w:val="en-US" w:eastAsia="en-US"/>
              </w:rPr>
              <w:t xml:space="preserve">c) Registrations include uses within scope of </w:t>
            </w:r>
            <w:proofErr w:type="spellStart"/>
            <w:r w:rsidRPr="00136A08">
              <w:rPr>
                <w:snapToGrid/>
                <w:lang w:val="en-US" w:eastAsia="en-US"/>
              </w:rPr>
              <w:t>authorisation</w:t>
            </w:r>
            <w:proofErr w:type="spellEnd"/>
            <w:r w:rsidRPr="00136A08">
              <w:rPr>
                <w:snapToGrid/>
                <w:lang w:val="en-US" w:eastAsia="en-US"/>
              </w:rPr>
              <w:t>?</w:t>
            </w:r>
          </w:p>
        </w:tc>
        <w:tc>
          <w:tcPr>
            <w:tcW w:w="1537" w:type="dxa"/>
            <w:shd w:val="clear" w:color="auto" w:fill="auto"/>
          </w:tcPr>
          <w:p w14:paraId="3E391CFB" w14:textId="77777777" w:rsidR="000B38AF" w:rsidRPr="00136A08" w:rsidRDefault="000B38AF" w:rsidP="00666A37">
            <w:pPr>
              <w:widowControl/>
              <w:spacing w:after="180"/>
              <w:jc w:val="center"/>
              <w:rPr>
                <w:snapToGrid/>
                <w:lang w:val="en-US" w:eastAsia="en-US"/>
              </w:rPr>
            </w:pPr>
            <w:r w:rsidRPr="00136A08">
              <w:rPr>
                <w:snapToGrid/>
                <w:lang w:val="en-US" w:eastAsia="en-US"/>
              </w:rPr>
              <w:t>√</w:t>
            </w:r>
          </w:p>
        </w:tc>
        <w:tc>
          <w:tcPr>
            <w:tcW w:w="1259" w:type="dxa"/>
            <w:shd w:val="clear" w:color="auto" w:fill="auto"/>
          </w:tcPr>
          <w:p w14:paraId="3019A6B2" w14:textId="77777777" w:rsidR="000B38AF" w:rsidRPr="00136A08" w:rsidRDefault="000B38AF" w:rsidP="00666A37">
            <w:pPr>
              <w:widowControl/>
              <w:spacing w:after="180"/>
              <w:rPr>
                <w:snapToGrid/>
                <w:lang w:val="en-US" w:eastAsia="en-US"/>
              </w:rPr>
            </w:pPr>
          </w:p>
        </w:tc>
      </w:tr>
      <w:tr w:rsidR="000B38AF" w:rsidRPr="00136A08" w14:paraId="687717F9" w14:textId="77777777" w:rsidTr="00666A37">
        <w:tc>
          <w:tcPr>
            <w:tcW w:w="5313" w:type="dxa"/>
            <w:shd w:val="clear" w:color="auto" w:fill="auto"/>
          </w:tcPr>
          <w:p w14:paraId="62453F3A" w14:textId="77777777" w:rsidR="000B38AF" w:rsidRPr="00136A08" w:rsidRDefault="000B38AF" w:rsidP="00666A37">
            <w:pPr>
              <w:widowControl/>
              <w:spacing w:after="180"/>
              <w:rPr>
                <w:snapToGrid/>
                <w:lang w:val="en-US" w:eastAsia="en-US"/>
              </w:rPr>
            </w:pPr>
            <w:r w:rsidRPr="00136A08">
              <w:rPr>
                <w:snapToGrid/>
                <w:lang w:val="en-US" w:eastAsia="en-US"/>
              </w:rPr>
              <w:t xml:space="preserve">d) Known uses </w:t>
            </w:r>
            <w:r w:rsidRPr="00136A08">
              <w:rPr>
                <w:snapToGrid/>
                <w:u w:val="single"/>
                <w:lang w:val="en-US" w:eastAsia="en-US"/>
              </w:rPr>
              <w:t>not</w:t>
            </w:r>
            <w:r w:rsidRPr="00136A08">
              <w:rPr>
                <w:snapToGrid/>
                <w:lang w:val="en-US" w:eastAsia="en-US"/>
              </w:rPr>
              <w:t xml:space="preserve"> already regulated by specific EU legislation that provides a pressure for substitution?</w:t>
            </w:r>
          </w:p>
        </w:tc>
        <w:tc>
          <w:tcPr>
            <w:tcW w:w="1537" w:type="dxa"/>
            <w:shd w:val="clear" w:color="auto" w:fill="auto"/>
          </w:tcPr>
          <w:p w14:paraId="159774A8" w14:textId="77777777" w:rsidR="000B38AF" w:rsidRPr="00136A08" w:rsidRDefault="000B38AF" w:rsidP="00666A37">
            <w:pPr>
              <w:widowControl/>
              <w:spacing w:after="180"/>
              <w:jc w:val="center"/>
              <w:rPr>
                <w:snapToGrid/>
                <w:lang w:val="en-US" w:eastAsia="en-US"/>
              </w:rPr>
            </w:pPr>
            <w:r w:rsidRPr="00136A08">
              <w:rPr>
                <w:snapToGrid/>
                <w:lang w:val="en-US" w:eastAsia="en-US"/>
              </w:rPr>
              <w:t>√</w:t>
            </w:r>
          </w:p>
        </w:tc>
        <w:tc>
          <w:tcPr>
            <w:tcW w:w="1259" w:type="dxa"/>
            <w:shd w:val="clear" w:color="auto" w:fill="auto"/>
          </w:tcPr>
          <w:p w14:paraId="6E6309AD" w14:textId="77777777" w:rsidR="000B38AF" w:rsidRPr="00136A08" w:rsidRDefault="000B38AF" w:rsidP="00666A37">
            <w:pPr>
              <w:widowControl/>
              <w:spacing w:after="180"/>
              <w:rPr>
                <w:snapToGrid/>
                <w:lang w:val="en-US" w:eastAsia="en-US"/>
              </w:rPr>
            </w:pPr>
          </w:p>
        </w:tc>
      </w:tr>
    </w:tbl>
    <w:p w14:paraId="6810BF0B" w14:textId="77777777" w:rsidR="000B38AF" w:rsidRDefault="000B38AF" w:rsidP="00136A08">
      <w:pPr>
        <w:rPr>
          <w:iCs/>
        </w:rPr>
      </w:pPr>
    </w:p>
    <w:p w14:paraId="3F2F55FB" w14:textId="611554E9" w:rsidR="00136A08" w:rsidRDefault="00136A08" w:rsidP="00136A08">
      <w:pPr>
        <w:rPr>
          <w:iCs/>
        </w:rPr>
      </w:pPr>
      <w:r w:rsidRPr="00136A08">
        <w:rPr>
          <w:iCs/>
        </w:rPr>
        <w:t xml:space="preserve">Barium </w:t>
      </w:r>
      <w:proofErr w:type="spellStart"/>
      <w:r w:rsidRPr="00136A08">
        <w:rPr>
          <w:iCs/>
        </w:rPr>
        <w:t>diboron</w:t>
      </w:r>
      <w:proofErr w:type="spellEnd"/>
      <w:r w:rsidRPr="00136A08">
        <w:rPr>
          <w:iCs/>
        </w:rPr>
        <w:t xml:space="preserve"> </w:t>
      </w:r>
      <w:proofErr w:type="spellStart"/>
      <w:r w:rsidRPr="00136A08">
        <w:rPr>
          <w:iCs/>
        </w:rPr>
        <w:t>tetraoxide</w:t>
      </w:r>
      <w:proofErr w:type="spellEnd"/>
      <w:r w:rsidRPr="00136A08">
        <w:rPr>
          <w:iCs/>
        </w:rPr>
        <w:t xml:space="preserve"> has a harmonised classification as toxic to reproduction (Category 1B) and therefore meets the criteria for identification as SVHC for inclusion in the Candidate List according to Article 57 (c) of REACH.</w:t>
      </w:r>
    </w:p>
    <w:p w14:paraId="7960B520" w14:textId="77777777" w:rsidR="00136A08" w:rsidRPr="00136A08" w:rsidRDefault="00136A08" w:rsidP="00136A08">
      <w:pPr>
        <w:rPr>
          <w:iCs/>
        </w:rPr>
      </w:pPr>
    </w:p>
    <w:p w14:paraId="53CEF601" w14:textId="77777777" w:rsidR="00BD6675" w:rsidRDefault="00136A08" w:rsidP="00BD6675">
      <w:pPr>
        <w:widowControl/>
        <w:spacing w:after="180"/>
        <w:jc w:val="both"/>
        <w:rPr>
          <w:snapToGrid/>
          <w:lang w:eastAsia="en-US"/>
        </w:rPr>
      </w:pPr>
      <w:r w:rsidRPr="00136A08">
        <w:rPr>
          <w:iCs/>
        </w:rPr>
        <w:t xml:space="preserve">Barium </w:t>
      </w:r>
      <w:proofErr w:type="spellStart"/>
      <w:r w:rsidRPr="00136A08">
        <w:rPr>
          <w:iCs/>
        </w:rPr>
        <w:t>diboron</w:t>
      </w:r>
      <w:proofErr w:type="spellEnd"/>
      <w:r w:rsidRPr="00136A08">
        <w:rPr>
          <w:iCs/>
        </w:rPr>
        <w:t xml:space="preserve"> </w:t>
      </w:r>
      <w:proofErr w:type="spellStart"/>
      <w:r w:rsidRPr="00136A08">
        <w:rPr>
          <w:iCs/>
        </w:rPr>
        <w:t>tetraoxide</w:t>
      </w:r>
      <w:proofErr w:type="spellEnd"/>
      <w:r w:rsidRPr="00136A08">
        <w:rPr>
          <w:iCs/>
        </w:rPr>
        <w:t xml:space="preserve"> is registered at medium tonnages and uses are within the scope of authorisation.</w:t>
      </w:r>
      <w:r w:rsidR="00BD6675" w:rsidRPr="00BD6675">
        <w:rPr>
          <w:snapToGrid/>
          <w:lang w:eastAsia="en-US"/>
        </w:rPr>
        <w:t xml:space="preserve"> </w:t>
      </w:r>
    </w:p>
    <w:p w14:paraId="040EF5FD" w14:textId="4C7031AE" w:rsidR="00BD6675" w:rsidRDefault="00BD6675" w:rsidP="00BD6675">
      <w:pPr>
        <w:widowControl/>
        <w:spacing w:after="180"/>
        <w:jc w:val="both"/>
        <w:rPr>
          <w:snapToGrid/>
          <w:lang w:eastAsia="en-US"/>
        </w:rPr>
      </w:pPr>
      <w:r w:rsidRPr="003862B9">
        <w:rPr>
          <w:snapToGrid/>
          <w:lang w:eastAsia="en-US"/>
        </w:rPr>
        <w:lastRenderedPageBreak/>
        <w:t xml:space="preserve">Barium </w:t>
      </w:r>
      <w:proofErr w:type="spellStart"/>
      <w:r w:rsidRPr="003862B9">
        <w:rPr>
          <w:snapToGrid/>
          <w:lang w:eastAsia="en-US"/>
        </w:rPr>
        <w:t>diboron</w:t>
      </w:r>
      <w:proofErr w:type="spellEnd"/>
      <w:r w:rsidRPr="003862B9">
        <w:rPr>
          <w:snapToGrid/>
          <w:lang w:eastAsia="en-US"/>
        </w:rPr>
        <w:t xml:space="preserve"> </w:t>
      </w:r>
      <w:proofErr w:type="spellStart"/>
      <w:r w:rsidRPr="003862B9">
        <w:rPr>
          <w:snapToGrid/>
          <w:lang w:eastAsia="en-US"/>
        </w:rPr>
        <w:t>tetraoxide</w:t>
      </w:r>
      <w:proofErr w:type="spellEnd"/>
      <w:r w:rsidRPr="003862B9">
        <w:rPr>
          <w:snapToGrid/>
          <w:lang w:eastAsia="en-US"/>
        </w:rPr>
        <w:t xml:space="preserve"> only has limited uses</w:t>
      </w:r>
      <w:r>
        <w:rPr>
          <w:snapToGrid/>
          <w:lang w:eastAsia="en-US"/>
        </w:rPr>
        <w:t>/functions</w:t>
      </w:r>
      <w:r w:rsidRPr="003862B9">
        <w:rPr>
          <w:snapToGrid/>
          <w:lang w:eastAsia="en-US"/>
        </w:rPr>
        <w:t xml:space="preserve"> (in formulation of paints and coatings). However, these uses/functions overlap with some of the uses/functions of borates currently included in the Candidate List. This indicates that barium </w:t>
      </w:r>
      <w:proofErr w:type="spellStart"/>
      <w:r w:rsidRPr="003862B9">
        <w:rPr>
          <w:snapToGrid/>
          <w:lang w:eastAsia="en-US"/>
        </w:rPr>
        <w:t>diboron</w:t>
      </w:r>
      <w:proofErr w:type="spellEnd"/>
      <w:r w:rsidRPr="003862B9">
        <w:rPr>
          <w:snapToGrid/>
          <w:lang w:eastAsia="en-US"/>
        </w:rPr>
        <w:t xml:space="preserve"> </w:t>
      </w:r>
      <w:proofErr w:type="spellStart"/>
      <w:r w:rsidRPr="003862B9">
        <w:rPr>
          <w:snapToGrid/>
          <w:lang w:eastAsia="en-US"/>
        </w:rPr>
        <w:t>tetraoxide</w:t>
      </w:r>
      <w:proofErr w:type="spellEnd"/>
      <w:r w:rsidRPr="003862B9">
        <w:rPr>
          <w:snapToGrid/>
          <w:lang w:eastAsia="en-US"/>
        </w:rPr>
        <w:t xml:space="preserve"> could be a potential substitute for these borates</w:t>
      </w:r>
      <w:r>
        <w:rPr>
          <w:snapToGrid/>
          <w:lang w:eastAsia="en-US"/>
        </w:rPr>
        <w:t>.</w:t>
      </w:r>
    </w:p>
    <w:bookmarkEnd w:id="1"/>
    <w:p w14:paraId="68353A2F" w14:textId="45C0701C" w:rsidR="00471457" w:rsidRPr="00BD6675" w:rsidRDefault="000B38AF" w:rsidP="00BD6675">
      <w:r w:rsidRPr="0044190D">
        <w:t xml:space="preserve">The Swedish </w:t>
      </w:r>
      <w:r>
        <w:t>Chemicals Agency</w:t>
      </w:r>
      <w:r w:rsidRPr="0044190D">
        <w:t xml:space="preserve"> concludes </w:t>
      </w:r>
      <w:r>
        <w:t>that inclusion of</w:t>
      </w:r>
      <w:r w:rsidRPr="0044190D">
        <w:t xml:space="preserve"> </w:t>
      </w:r>
      <w:bookmarkStart w:id="2" w:name="_Hlk85812830"/>
      <w:r w:rsidRPr="0044190D">
        <w:t xml:space="preserve">barium </w:t>
      </w:r>
      <w:proofErr w:type="spellStart"/>
      <w:r w:rsidRPr="0044190D">
        <w:t>diboron</w:t>
      </w:r>
      <w:proofErr w:type="spellEnd"/>
      <w:r w:rsidRPr="0044190D">
        <w:t xml:space="preserve"> </w:t>
      </w:r>
      <w:proofErr w:type="spellStart"/>
      <w:r w:rsidRPr="0044190D">
        <w:t>tetraoxide</w:t>
      </w:r>
      <w:bookmarkEnd w:id="2"/>
      <w:proofErr w:type="spellEnd"/>
      <w:r>
        <w:t xml:space="preserve"> </w:t>
      </w:r>
      <w:r w:rsidRPr="0044190D">
        <w:t xml:space="preserve">in the Candidate list </w:t>
      </w:r>
      <w:r w:rsidRPr="00CE6420">
        <w:t xml:space="preserve">of substances of very high concern </w:t>
      </w:r>
      <w:r w:rsidRPr="0044190D">
        <w:t>is the most appropriate risk management option.</w:t>
      </w:r>
      <w:r>
        <w:t xml:space="preserve"> </w:t>
      </w:r>
      <w:r w:rsidRPr="00704C7F">
        <w:t xml:space="preserve">This is to </w:t>
      </w:r>
      <w:r w:rsidRPr="00B32B84">
        <w:t>prevent regrettable substitution</w:t>
      </w:r>
      <w:r>
        <w:t xml:space="preserve"> of borates already on the Candidate list </w:t>
      </w:r>
      <w:r w:rsidRPr="00704C7F">
        <w:t>and as an incentive for substitution</w:t>
      </w:r>
      <w:r>
        <w:t xml:space="preserve"> of barium </w:t>
      </w:r>
      <w:proofErr w:type="spellStart"/>
      <w:r>
        <w:t>diboron</w:t>
      </w:r>
      <w:proofErr w:type="spellEnd"/>
      <w:r>
        <w:t xml:space="preserve"> </w:t>
      </w:r>
      <w:proofErr w:type="spellStart"/>
      <w:r>
        <w:t>tetraoxide</w:t>
      </w:r>
      <w:proofErr w:type="spellEnd"/>
      <w:r>
        <w:t xml:space="preserve"> itself</w:t>
      </w:r>
      <w:r w:rsidRPr="00704C7F">
        <w:t xml:space="preserve">. </w:t>
      </w:r>
      <w:r>
        <w:t xml:space="preserve">If there are uses in which barium </w:t>
      </w:r>
      <w:proofErr w:type="spellStart"/>
      <w:r>
        <w:t>diboron</w:t>
      </w:r>
      <w:proofErr w:type="spellEnd"/>
      <w:r>
        <w:t xml:space="preserve"> </w:t>
      </w:r>
      <w:proofErr w:type="spellStart"/>
      <w:r>
        <w:t>tetraoxide</w:t>
      </w:r>
      <w:proofErr w:type="spellEnd"/>
      <w:r>
        <w:t xml:space="preserve"> cannot be substituted, </w:t>
      </w:r>
      <w:r w:rsidRPr="00704C7F">
        <w:t>the authorisation system will apply to assure proper control of the risks</w:t>
      </w:r>
      <w:r>
        <w:t xml:space="preserve"> to professional and industrial workers</w:t>
      </w:r>
      <w:r w:rsidRPr="00704C7F">
        <w:t>.</w:t>
      </w:r>
      <w:r>
        <w:t xml:space="preserve"> </w:t>
      </w:r>
    </w:p>
    <w:p w14:paraId="066003D9" w14:textId="37FCFECE" w:rsidR="00492518" w:rsidRPr="00F85D6C" w:rsidRDefault="00492518" w:rsidP="00F85D6C">
      <w:pPr>
        <w:widowControl/>
        <w:spacing w:after="200" w:line="276" w:lineRule="auto"/>
        <w:rPr>
          <w:rFonts w:cs="Arial"/>
          <w:b/>
          <w:bCs/>
          <w:snapToGrid/>
          <w:color w:val="4F81BD" w:themeColor="accent1"/>
          <w:sz w:val="28"/>
          <w:szCs w:val="28"/>
        </w:rPr>
      </w:pPr>
    </w:p>
    <w:p w14:paraId="68353A4B" w14:textId="2CB4A9FC" w:rsidR="00A14C19" w:rsidRPr="00F85D6C" w:rsidRDefault="006617E0" w:rsidP="00F85D6C">
      <w:pPr>
        <w:pStyle w:val="Rubrik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4C" w14:textId="77777777"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13940CFF" w:rsidR="00A14C19" w:rsidRPr="003016DF" w:rsidRDefault="00A14C19" w:rsidP="00A2050D">
            <w:pPr>
              <w:spacing w:after="120"/>
            </w:pPr>
            <w:r w:rsidRPr="003016DF">
              <w:t xml:space="preserve">Annex XV dossier for </w:t>
            </w:r>
            <w:r w:rsidR="004F00C7">
              <w:t>SVHC identification</w:t>
            </w:r>
          </w:p>
        </w:tc>
        <w:tc>
          <w:tcPr>
            <w:tcW w:w="2520" w:type="dxa"/>
            <w:shd w:val="clear" w:color="auto" w:fill="auto"/>
          </w:tcPr>
          <w:p w14:paraId="68353A52" w14:textId="6ED02288" w:rsidR="00A14C19" w:rsidRPr="00A829AB" w:rsidRDefault="008873A5" w:rsidP="00A2050D">
            <w:pPr>
              <w:rPr>
                <w:highlight w:val="yellow"/>
              </w:rPr>
            </w:pPr>
            <w:r w:rsidRPr="008873A5">
              <w:t xml:space="preserve">August </w:t>
            </w:r>
            <w:r w:rsidR="00F85D6C" w:rsidRPr="008873A5">
              <w:t>2022</w:t>
            </w:r>
            <w:r w:rsidR="00A14C19" w:rsidRPr="008873A5">
              <w:t xml:space="preserve"> </w:t>
            </w:r>
          </w:p>
        </w:tc>
        <w:tc>
          <w:tcPr>
            <w:tcW w:w="3780" w:type="dxa"/>
            <w:shd w:val="clear" w:color="auto" w:fill="auto"/>
          </w:tcPr>
          <w:p w14:paraId="68353A53" w14:textId="77777777" w:rsidR="00A14C19" w:rsidRPr="003016DF" w:rsidRDefault="00A14C19" w:rsidP="00A2050D">
            <w:r w:rsidRPr="003016DF">
              <w:t>Member State</w:t>
            </w:r>
          </w:p>
        </w:tc>
      </w:tr>
    </w:tbl>
    <w:p w14:paraId="68353A59" w14:textId="77777777" w:rsidR="00997177" w:rsidRDefault="00FE0A7A"/>
    <w:sectPr w:rsidR="0099717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8" w14:textId="2A6C43AA" w:rsidR="002E4026" w:rsidRPr="00B66083" w:rsidRDefault="00E86372" w:rsidP="002E4026">
    <w:pPr>
      <w:pStyle w:val="Sidfot"/>
      <w:jc w:val="center"/>
    </w:pPr>
    <w:r w:rsidRPr="009A61C8">
      <w:rPr>
        <w:sz w:val="18"/>
        <w:szCs w:val="18"/>
      </w:rPr>
      <w:t xml:space="preserve">EC no </w:t>
    </w:r>
    <w:r w:rsidR="002367F9" w:rsidRPr="002367F9">
      <w:rPr>
        <w:sz w:val="18"/>
        <w:szCs w:val="18"/>
      </w:rPr>
      <w:t>237-222-4</w:t>
    </w:r>
    <w:r w:rsidRPr="009A61C8">
      <w:rPr>
        <w:sz w:val="18"/>
        <w:szCs w:val="18"/>
      </w:rPr>
      <w:tab/>
      <w:t xml:space="preserve">MSCA </w:t>
    </w:r>
    <w:r w:rsidR="002367F9">
      <w:rPr>
        <w:sz w:val="18"/>
        <w:szCs w:val="18"/>
      </w:rPr>
      <w:t>- Sweden</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862992">
      <w:rPr>
        <w:noProof/>
        <w:sz w:val="18"/>
        <w:szCs w:val="18"/>
      </w:rPr>
      <w:t>2</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862992">
      <w:rPr>
        <w:noProof/>
        <w:sz w:val="18"/>
        <w:szCs w:val="18"/>
      </w:rPr>
      <w:t>6</w:t>
    </w:r>
    <w:r w:rsidR="002E4026" w:rsidRPr="009320DD">
      <w:rPr>
        <w:sz w:val="18"/>
        <w:szCs w:val="18"/>
      </w:rPr>
      <w:fldChar w:fldCharType="end"/>
    </w:r>
  </w:p>
  <w:p w14:paraId="68353A69"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A" w14:textId="43D0B1C8" w:rsidR="00C0335E" w:rsidRPr="00B66083" w:rsidRDefault="00E86372" w:rsidP="00B66083">
    <w:pPr>
      <w:pStyle w:val="Sidfot"/>
      <w:jc w:val="center"/>
    </w:pPr>
    <w:r w:rsidRPr="009A61C8">
      <w:rPr>
        <w:sz w:val="18"/>
        <w:szCs w:val="18"/>
      </w:rPr>
      <w:t xml:space="preserve">EC no </w:t>
    </w:r>
    <w:r w:rsidR="00F85D6C" w:rsidRPr="002367F9">
      <w:rPr>
        <w:sz w:val="18"/>
        <w:szCs w:val="18"/>
      </w:rPr>
      <w:t>237-222-4</w:t>
    </w:r>
    <w:r w:rsidRPr="009A61C8">
      <w:rPr>
        <w:sz w:val="18"/>
        <w:szCs w:val="18"/>
      </w:rPr>
      <w:tab/>
      <w:t xml:space="preserve">MSCA - </w:t>
    </w:r>
    <w:r w:rsidR="00F85D6C">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862992">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862992">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67E677E"/>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42FA"/>
    <w:rsid w:val="0000560B"/>
    <w:rsid w:val="000122ED"/>
    <w:rsid w:val="0001476D"/>
    <w:rsid w:val="000204C4"/>
    <w:rsid w:val="00024D48"/>
    <w:rsid w:val="00037F48"/>
    <w:rsid w:val="00047BEE"/>
    <w:rsid w:val="00054356"/>
    <w:rsid w:val="000633BF"/>
    <w:rsid w:val="000711F7"/>
    <w:rsid w:val="00077E65"/>
    <w:rsid w:val="0009452D"/>
    <w:rsid w:val="000A3AEB"/>
    <w:rsid w:val="000B38AF"/>
    <w:rsid w:val="000D5B93"/>
    <w:rsid w:val="000E2FC2"/>
    <w:rsid w:val="000E4E5B"/>
    <w:rsid w:val="000E7032"/>
    <w:rsid w:val="00112815"/>
    <w:rsid w:val="0011467E"/>
    <w:rsid w:val="001259BB"/>
    <w:rsid w:val="0012634F"/>
    <w:rsid w:val="00126494"/>
    <w:rsid w:val="00136A08"/>
    <w:rsid w:val="00142327"/>
    <w:rsid w:val="001448AF"/>
    <w:rsid w:val="00144FCA"/>
    <w:rsid w:val="00166209"/>
    <w:rsid w:val="00183C4B"/>
    <w:rsid w:val="001915C8"/>
    <w:rsid w:val="001C1F13"/>
    <w:rsid w:val="001E6C1A"/>
    <w:rsid w:val="00201A44"/>
    <w:rsid w:val="00202966"/>
    <w:rsid w:val="00205775"/>
    <w:rsid w:val="002163CF"/>
    <w:rsid w:val="00220442"/>
    <w:rsid w:val="00227B7E"/>
    <w:rsid w:val="002367F9"/>
    <w:rsid w:val="002460BF"/>
    <w:rsid w:val="00256417"/>
    <w:rsid w:val="00262180"/>
    <w:rsid w:val="002650FC"/>
    <w:rsid w:val="00270FFE"/>
    <w:rsid w:val="0027431B"/>
    <w:rsid w:val="002920AC"/>
    <w:rsid w:val="00294316"/>
    <w:rsid w:val="002C515C"/>
    <w:rsid w:val="002C6ADA"/>
    <w:rsid w:val="002D0A2E"/>
    <w:rsid w:val="002D7699"/>
    <w:rsid w:val="002E3562"/>
    <w:rsid w:val="002E4026"/>
    <w:rsid w:val="002E4672"/>
    <w:rsid w:val="002F261C"/>
    <w:rsid w:val="003065EE"/>
    <w:rsid w:val="0032297A"/>
    <w:rsid w:val="00326F57"/>
    <w:rsid w:val="00332FF4"/>
    <w:rsid w:val="00363833"/>
    <w:rsid w:val="0036659A"/>
    <w:rsid w:val="003746D1"/>
    <w:rsid w:val="003862B9"/>
    <w:rsid w:val="003B32BD"/>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B10B4"/>
    <w:rsid w:val="004B48E4"/>
    <w:rsid w:val="004B63F1"/>
    <w:rsid w:val="004B7059"/>
    <w:rsid w:val="004C7EF4"/>
    <w:rsid w:val="004D24E8"/>
    <w:rsid w:val="004E0601"/>
    <w:rsid w:val="004E385D"/>
    <w:rsid w:val="004E7788"/>
    <w:rsid w:val="004F00C7"/>
    <w:rsid w:val="004F0B91"/>
    <w:rsid w:val="004F51B6"/>
    <w:rsid w:val="004F6831"/>
    <w:rsid w:val="00501202"/>
    <w:rsid w:val="00502101"/>
    <w:rsid w:val="00502ADE"/>
    <w:rsid w:val="00510C24"/>
    <w:rsid w:val="00513808"/>
    <w:rsid w:val="00515C08"/>
    <w:rsid w:val="00523442"/>
    <w:rsid w:val="00531303"/>
    <w:rsid w:val="005401E5"/>
    <w:rsid w:val="005437BE"/>
    <w:rsid w:val="005575E6"/>
    <w:rsid w:val="00586832"/>
    <w:rsid w:val="00594EC4"/>
    <w:rsid w:val="00596A10"/>
    <w:rsid w:val="005A2AD2"/>
    <w:rsid w:val="005C3710"/>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D39F4"/>
    <w:rsid w:val="006E2B7B"/>
    <w:rsid w:val="006E6B1A"/>
    <w:rsid w:val="006F6AE3"/>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5373"/>
    <w:rsid w:val="00835C68"/>
    <w:rsid w:val="00840BD5"/>
    <w:rsid w:val="00853E7D"/>
    <w:rsid w:val="00860FBA"/>
    <w:rsid w:val="00862992"/>
    <w:rsid w:val="00883931"/>
    <w:rsid w:val="008873A5"/>
    <w:rsid w:val="008A1880"/>
    <w:rsid w:val="008C0CC7"/>
    <w:rsid w:val="00920032"/>
    <w:rsid w:val="00922BBA"/>
    <w:rsid w:val="00930C01"/>
    <w:rsid w:val="00933335"/>
    <w:rsid w:val="00933AC5"/>
    <w:rsid w:val="009369B2"/>
    <w:rsid w:val="00950928"/>
    <w:rsid w:val="00955691"/>
    <w:rsid w:val="00955D7A"/>
    <w:rsid w:val="00962549"/>
    <w:rsid w:val="00980AC4"/>
    <w:rsid w:val="00983286"/>
    <w:rsid w:val="00983FBD"/>
    <w:rsid w:val="00985B7B"/>
    <w:rsid w:val="00986A52"/>
    <w:rsid w:val="009A4F2F"/>
    <w:rsid w:val="009B0296"/>
    <w:rsid w:val="009B4D5D"/>
    <w:rsid w:val="009C2172"/>
    <w:rsid w:val="009C590C"/>
    <w:rsid w:val="009C5A06"/>
    <w:rsid w:val="009D3C1E"/>
    <w:rsid w:val="009E696B"/>
    <w:rsid w:val="009F191D"/>
    <w:rsid w:val="009F209D"/>
    <w:rsid w:val="00A03E87"/>
    <w:rsid w:val="00A14C19"/>
    <w:rsid w:val="00A14EC1"/>
    <w:rsid w:val="00A2487E"/>
    <w:rsid w:val="00A263C9"/>
    <w:rsid w:val="00A41F93"/>
    <w:rsid w:val="00A429E9"/>
    <w:rsid w:val="00A4316B"/>
    <w:rsid w:val="00A436BB"/>
    <w:rsid w:val="00A446BC"/>
    <w:rsid w:val="00A45B6C"/>
    <w:rsid w:val="00A54C28"/>
    <w:rsid w:val="00A75ACF"/>
    <w:rsid w:val="00A80DBE"/>
    <w:rsid w:val="00A829AB"/>
    <w:rsid w:val="00AB0322"/>
    <w:rsid w:val="00AB1228"/>
    <w:rsid w:val="00AC5ED0"/>
    <w:rsid w:val="00AC7509"/>
    <w:rsid w:val="00AC79ED"/>
    <w:rsid w:val="00AD40AE"/>
    <w:rsid w:val="00AE2396"/>
    <w:rsid w:val="00AF5158"/>
    <w:rsid w:val="00AF63F4"/>
    <w:rsid w:val="00AF6E00"/>
    <w:rsid w:val="00AF77F1"/>
    <w:rsid w:val="00B03339"/>
    <w:rsid w:val="00B2524D"/>
    <w:rsid w:val="00B32C2E"/>
    <w:rsid w:val="00B37A42"/>
    <w:rsid w:val="00B66083"/>
    <w:rsid w:val="00B92E74"/>
    <w:rsid w:val="00BB0CE8"/>
    <w:rsid w:val="00BB3275"/>
    <w:rsid w:val="00BC35A3"/>
    <w:rsid w:val="00BC5A7C"/>
    <w:rsid w:val="00BD6675"/>
    <w:rsid w:val="00BE1CEB"/>
    <w:rsid w:val="00BE5AF4"/>
    <w:rsid w:val="00BF5819"/>
    <w:rsid w:val="00BF63C3"/>
    <w:rsid w:val="00C0335E"/>
    <w:rsid w:val="00C0431D"/>
    <w:rsid w:val="00C0654A"/>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D00E35"/>
    <w:rsid w:val="00D03326"/>
    <w:rsid w:val="00D11FC2"/>
    <w:rsid w:val="00D37806"/>
    <w:rsid w:val="00D462BD"/>
    <w:rsid w:val="00D5375D"/>
    <w:rsid w:val="00D53A3D"/>
    <w:rsid w:val="00D61F8B"/>
    <w:rsid w:val="00D70C76"/>
    <w:rsid w:val="00DA5A25"/>
    <w:rsid w:val="00DA6B85"/>
    <w:rsid w:val="00DB0024"/>
    <w:rsid w:val="00DC1F12"/>
    <w:rsid w:val="00DD1882"/>
    <w:rsid w:val="00E14856"/>
    <w:rsid w:val="00E36635"/>
    <w:rsid w:val="00E464B0"/>
    <w:rsid w:val="00E55E07"/>
    <w:rsid w:val="00E702C1"/>
    <w:rsid w:val="00E85A6B"/>
    <w:rsid w:val="00E86372"/>
    <w:rsid w:val="00EA326C"/>
    <w:rsid w:val="00EA6BD2"/>
    <w:rsid w:val="00EA7CF9"/>
    <w:rsid w:val="00EB3299"/>
    <w:rsid w:val="00ED048E"/>
    <w:rsid w:val="00ED10AD"/>
    <w:rsid w:val="00ED55A6"/>
    <w:rsid w:val="00ED5761"/>
    <w:rsid w:val="00EE475E"/>
    <w:rsid w:val="00F145F2"/>
    <w:rsid w:val="00F154FB"/>
    <w:rsid w:val="00F4442B"/>
    <w:rsid w:val="00F503E3"/>
    <w:rsid w:val="00F545EA"/>
    <w:rsid w:val="00F57736"/>
    <w:rsid w:val="00F67BB5"/>
    <w:rsid w:val="00F826BC"/>
    <w:rsid w:val="00F85D6C"/>
    <w:rsid w:val="00F92D91"/>
    <w:rsid w:val="00FA4598"/>
    <w:rsid w:val="00FB30A3"/>
    <w:rsid w:val="00FB4C3F"/>
    <w:rsid w:val="00FC3640"/>
    <w:rsid w:val="00FE0975"/>
    <w:rsid w:val="00FE0A7A"/>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353996"/>
  <w15:docId w15:val="{C96689E9-7BA1-4DD5-A8DE-08B930AC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basedOn w:val="Normal"/>
    <w:link w:val="FotnotstextChar"/>
    <w:uiPriority w:val="99"/>
    <w:semiHidden/>
    <w:qFormat/>
    <w:rsid w:val="00471457"/>
  </w:style>
  <w:style w:type="character" w:customStyle="1" w:styleId="FotnotstextChar">
    <w:name w:val="Fotnotstext Char"/>
    <w:basedOn w:val="Standardstycketeckensnitt"/>
    <w:link w:val="Fotnotstext"/>
    <w:uiPriority w:val="99"/>
    <w:semiHidden/>
    <w:rsid w:val="00471457"/>
    <w:rPr>
      <w:rFonts w:ascii="Verdana" w:eastAsia="Times New Roman" w:hAnsi="Verdana" w:cs="Times New Roman"/>
      <w:snapToGrid w:val="0"/>
      <w:sz w:val="20"/>
      <w:szCs w:val="20"/>
      <w:lang w:eastAsia="fi-FI"/>
    </w:rPr>
  </w:style>
  <w:style w:type="character" w:styleId="Fotnotsreferens">
    <w:name w:val="footnote reference"/>
    <w:aliases w:val="Footnote"/>
    <w:uiPriority w:val="99"/>
    <w:semiHidden/>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iPriority w:val="99"/>
    <w:unhideWhenUsed/>
    <w:rsid w:val="002F261C"/>
  </w:style>
  <w:style w:type="character" w:customStyle="1" w:styleId="KommentarerChar">
    <w:name w:val="Kommentarer Char"/>
    <w:basedOn w:val="Standardstycketeckensnitt"/>
    <w:link w:val="Kommentarer"/>
    <w:uiPriority w:val="99"/>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862992"/>
    <w:pPr>
      <w:numPr>
        <w:numId w:val="14"/>
      </w:numPr>
      <w:contextualSpacing/>
    </w:pPr>
  </w:style>
  <w:style w:type="paragraph" w:customStyle="1" w:styleId="Default">
    <w:name w:val="Default"/>
    <w:rsid w:val="002367F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A0B6B-2A8C-4E8B-A868-E39425EDA209}">
  <ds:schemaRefs>
    <ds:schemaRef ds:uri="http://schemas.openxmlformats.org/officeDocument/2006/bibliography"/>
  </ds:schemaRefs>
</ds:datastoreItem>
</file>

<file path=customXml/itemProps3.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4.xml><?xml version="1.0" encoding="utf-8"?>
<ds:datastoreItem xmlns:ds="http://schemas.openxmlformats.org/officeDocument/2006/customXml" ds:itemID="{FB8C6060-E70E-4A37-913A-A00BF7D052E3}">
  <ds:schemaRefs>
    <ds:schemaRef ds:uri="http://schemas.microsoft.com/office/2006/documentManagement/types"/>
    <ds:schemaRef ds:uri="http://schemas.microsoft.com/office/infopath/2007/PartnerControls"/>
    <ds:schemaRef ds:uri="4811b924-dee2-413a-bdc8-2cc023473c17"/>
    <ds:schemaRef ds:uri="http://purl.org/dc/elements/1.1/"/>
    <ds:schemaRef ds:uri="http://schemas.microsoft.com/office/2006/metadata/properties"/>
    <ds:schemaRef ds:uri="http://purl.org/dc/terms/"/>
    <ds:schemaRef ds:uri="http://schemas.openxmlformats.org/package/2006/metadata/core-properties"/>
    <ds:schemaRef ds:uri="b80ede5c-af4c-4bf2-9a87-706a3579dc11"/>
    <ds:schemaRef ds:uri="http://www.w3.org/XML/1998/namespace"/>
    <ds:schemaRef ds:uri="http://purl.org/dc/dcmitype/"/>
  </ds:schemaRefs>
</ds:datastoreItem>
</file>

<file path=customXml/itemProps5.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6.xml><?xml version="1.0" encoding="utf-8"?>
<ds:datastoreItem xmlns:ds="http://schemas.openxmlformats.org/officeDocument/2006/customXml" ds:itemID="{AABFB3E3-EBBC-4869-B4C1-04C930B5F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988</Words>
  <Characters>5240</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Tommy Johansson</cp:lastModifiedBy>
  <cp:revision>9</cp:revision>
  <cp:lastPrinted>2015-08-11T11:20:00Z</cp:lastPrinted>
  <dcterms:created xsi:type="dcterms:W3CDTF">2022-02-11T11:16:00Z</dcterms:created>
  <dcterms:modified xsi:type="dcterms:W3CDTF">2022-03-07T07:43:00Z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