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555" w:rsidRDefault="00322555"/>
    <w:p w:rsidR="00322555" w:rsidRDefault="00202230">
      <w:pPr>
        <w:spacing w:before="120" w:after="120"/>
        <w:jc w:val="center"/>
        <w:rPr>
          <w:b/>
          <w:i/>
          <w:u w:val="single"/>
        </w:rPr>
      </w:pPr>
      <w:r>
        <w:rPr>
          <w:b/>
          <w:u w:val="single"/>
        </w:rPr>
        <w:t>ET</w:t>
      </w:r>
    </w:p>
    <w:p w:rsidR="00322555" w:rsidRDefault="00322555"/>
    <w:p w:rsidR="00322555" w:rsidRDefault="00202230">
      <w:pPr>
        <w:spacing w:before="120" w:after="120"/>
        <w:jc w:val="center"/>
        <w:rPr>
          <w:b/>
          <w:i/>
          <w:u w:val="single"/>
        </w:rPr>
      </w:pPr>
      <w:r>
        <w:rPr>
          <w:b/>
          <w:u w:val="single"/>
        </w:rPr>
        <w:t>LISA</w:t>
      </w:r>
    </w:p>
    <w:p w:rsidR="00322555" w:rsidRDefault="00322555"/>
    <w:p w:rsidR="00322555" w:rsidRDefault="00322555"/>
    <w:p w:rsidR="00322555" w:rsidRDefault="00322555"/>
    <w:p w:rsidR="00322555" w:rsidRDefault="00322555"/>
    <w:p w:rsidR="00322555" w:rsidRDefault="00322555"/>
    <w:p w:rsidR="00322555" w:rsidRDefault="00322555"/>
    <w:p w:rsidR="00322555" w:rsidRDefault="00322555"/>
    <w:p w:rsidR="00322555" w:rsidRDefault="00322555"/>
    <w:p w:rsidR="00322555" w:rsidRDefault="00322555"/>
    <w:p w:rsidR="00322555" w:rsidRDefault="00322555"/>
    <w:p w:rsidR="00322555" w:rsidRDefault="00322555"/>
    <w:p w:rsidR="00322555" w:rsidRDefault="00322555"/>
    <w:p w:rsidR="00322555" w:rsidRDefault="00322555"/>
    <w:p w:rsidR="00322555" w:rsidRDefault="00322555"/>
    <w:p w:rsidR="00322555" w:rsidRDefault="00322555"/>
    <w:p w:rsidR="00322555" w:rsidRDefault="00322555"/>
    <w:p w:rsidR="00322555" w:rsidRDefault="00202230">
      <w:pPr>
        <w:spacing w:before="373"/>
        <w:jc w:val="center"/>
        <w:rPr>
          <w:b/>
          <w:sz w:val="32"/>
        </w:rPr>
      </w:pPr>
      <w:r>
        <w:rPr>
          <w:b/>
          <w:sz w:val="32"/>
        </w:rPr>
        <w:t>Biotsiidi omaduste kokkuvõte</w:t>
      </w:r>
    </w:p>
    <w:p w:rsidR="00322555" w:rsidRDefault="00322555"/>
    <w:p w:rsidR="00322555" w:rsidRDefault="00202230">
      <w:pPr>
        <w:spacing w:before="480" w:after="120"/>
        <w:jc w:val="center"/>
        <w:rPr>
          <w:sz w:val="28"/>
        </w:rPr>
      </w:pPr>
      <w:r>
        <w:rPr>
          <w:sz w:val="28"/>
        </w:rPr>
        <w:t>Neopermin</w:t>
      </w:r>
    </w:p>
    <w:p w:rsidR="00322555" w:rsidRDefault="00322555"/>
    <w:p w:rsidR="00322555" w:rsidRDefault="00202230">
      <w:pPr>
        <w:jc w:val="center"/>
        <w:rPr>
          <w:sz w:val="28"/>
        </w:rPr>
      </w:pPr>
      <w:r>
        <w:rPr>
          <w:sz w:val="28"/>
        </w:rPr>
        <w:t>Tooteliik 18. Insektitsiidid, akaritsiidid ja tooted muude lülijalgsete tõrjeks (kahjuritõrje</w:t>
      </w:r>
      <w:r w:rsidR="00707A71">
        <w:rPr>
          <w:sz w:val="28"/>
        </w:rPr>
        <w:t>)</w:t>
      </w:r>
    </w:p>
    <w:p w:rsidR="00322555" w:rsidRDefault="00322555"/>
    <w:p w:rsidR="00322555" w:rsidRDefault="00202230">
      <w:pPr>
        <w:jc w:val="center"/>
        <w:rPr>
          <w:sz w:val="28"/>
        </w:rPr>
      </w:pPr>
      <w:r>
        <w:rPr>
          <w:sz w:val="28"/>
        </w:rPr>
        <w:t xml:space="preserve">Loa number: </w:t>
      </w:r>
      <w:r w:rsidR="00A44723" w:rsidRPr="00A44723">
        <w:rPr>
          <w:sz w:val="28"/>
        </w:rPr>
        <w:t>EE-0017319-0000</w:t>
      </w:r>
    </w:p>
    <w:p w:rsidR="00322555" w:rsidRDefault="00322555"/>
    <w:p w:rsidR="00322555" w:rsidRDefault="00202230">
      <w:pPr>
        <w:jc w:val="center"/>
        <w:rPr>
          <w:sz w:val="28"/>
        </w:rPr>
      </w:pPr>
      <w:r>
        <w:rPr>
          <w:sz w:val="28"/>
        </w:rPr>
        <w:t xml:space="preserve">R4BP registrinumber: </w:t>
      </w:r>
      <w:r w:rsidR="00A44723" w:rsidRPr="00A44723">
        <w:rPr>
          <w:sz w:val="28"/>
        </w:rPr>
        <w:t>EE-0017319-0000</w:t>
      </w:r>
    </w:p>
    <w:p w:rsidR="00322555" w:rsidRDefault="00202230">
      <w:pPr>
        <w:pStyle w:val="Pealkiri1"/>
        <w:pageBreakBefore/>
      </w:pPr>
      <w:r>
        <w:rPr>
          <w:b w:val="0"/>
        </w:rPr>
        <w:lastRenderedPageBreak/>
        <w:t>1.</w:t>
      </w:r>
      <w:r>
        <w:rPr>
          <w:b w:val="0"/>
        </w:rPr>
        <w:tab/>
      </w:r>
      <w:r>
        <w:rPr>
          <w:caps/>
        </w:rPr>
        <w:t>H</w:t>
      </w:r>
      <w:r>
        <w:rPr>
          <w:caps/>
        </w:rPr>
        <w:t>aldusteave</w:t>
      </w:r>
    </w:p>
    <w:p w:rsidR="00322555" w:rsidRDefault="00322555"/>
    <w:p w:rsidR="00322555" w:rsidRDefault="00202230">
      <w:pPr>
        <w:pStyle w:val="Pealkiri2"/>
        <w:rPr>
          <w:i w:val="0"/>
          <w:sz w:val="20"/>
        </w:rPr>
      </w:pPr>
      <w:r>
        <w:rPr>
          <w:b w:val="0"/>
          <w:i w:val="0"/>
          <w:sz w:val="20"/>
        </w:rPr>
        <w:t>1.1.</w:t>
      </w:r>
      <w:r>
        <w:rPr>
          <w:b w:val="0"/>
          <w:i w:val="0"/>
          <w:sz w:val="20"/>
        </w:rPr>
        <w:tab/>
      </w:r>
      <w:r>
        <w:rPr>
          <w:i w:val="0"/>
          <w:sz w:val="20"/>
        </w:rPr>
        <w:t>Toote kaubanduslik(ud) nimetus(ed)</w:t>
      </w:r>
    </w:p>
    <w:tbl>
      <w:tblPr>
        <w:tblW w:w="0" w:type="auto"/>
        <w:tblInd w:w="4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3"/>
        <w:gridCol w:w="4353"/>
      </w:tblGrid>
      <w:tr w:rsidR="00322555">
        <w:tc>
          <w:tcPr>
            <w:tcW w:w="467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Kaubanduslik nimetus</w:t>
            </w:r>
          </w:p>
        </w:tc>
        <w:tc>
          <w:tcPr>
            <w:tcW w:w="435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Neopermin</w:t>
            </w:r>
            <w:r>
              <w:br/>
              <w:t>Biotoll Neopermin</w:t>
            </w:r>
            <w:r>
              <w:br/>
              <w:t>Effect Sipelga pulber</w:t>
            </w:r>
            <w:r>
              <w:br/>
              <w:t>Sipelgate tõrjepulber</w:t>
            </w:r>
          </w:p>
        </w:tc>
      </w:tr>
    </w:tbl>
    <w:p w:rsidR="00322555" w:rsidRDefault="00322555"/>
    <w:p w:rsidR="00322555" w:rsidRDefault="00202230">
      <w:pPr>
        <w:pStyle w:val="Pealkiri2"/>
        <w:rPr>
          <w:i w:val="0"/>
          <w:sz w:val="20"/>
        </w:rPr>
      </w:pPr>
      <w:r>
        <w:rPr>
          <w:b w:val="0"/>
          <w:i w:val="0"/>
          <w:sz w:val="20"/>
        </w:rPr>
        <w:t>1.2.</w:t>
      </w:r>
      <w:r>
        <w:rPr>
          <w:b w:val="0"/>
          <w:i w:val="0"/>
          <w:sz w:val="20"/>
        </w:rPr>
        <w:tab/>
      </w:r>
      <w:r>
        <w:rPr>
          <w:i w:val="0"/>
          <w:sz w:val="20"/>
        </w:rPr>
        <w:t>Loaomanik</w:t>
      </w:r>
    </w:p>
    <w:tbl>
      <w:tblPr>
        <w:tblW w:w="0" w:type="auto"/>
        <w:tblInd w:w="4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0"/>
        <w:gridCol w:w="1063"/>
        <w:gridCol w:w="4352"/>
      </w:tblGrid>
      <w:tr w:rsidR="00322555">
        <w:tc>
          <w:tcPr>
            <w:tcW w:w="3610" w:type="dxa"/>
            <w:vMerge w:val="restart"/>
            <w:tcMar>
              <w:top w:w="40" w:type="dxa"/>
              <w:left w:w="40" w:type="dxa"/>
              <w:right w:w="40" w:type="dxa"/>
            </w:tcMar>
          </w:tcPr>
          <w:p w:rsidR="00322555" w:rsidRDefault="00202230">
            <w:r>
              <w:t>Loaomaniku nimi ja aadress</w:t>
            </w:r>
          </w:p>
        </w:tc>
        <w:tc>
          <w:tcPr>
            <w:tcW w:w="106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Nimi</w:t>
            </w:r>
          </w:p>
        </w:tc>
        <w:tc>
          <w:tcPr>
            <w:tcW w:w="43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 w:rsidRPr="00202230">
              <w:t>Unichem d.o.o.</w:t>
            </w:r>
          </w:p>
        </w:tc>
      </w:tr>
      <w:tr w:rsidR="00322555">
        <w:tc>
          <w:tcPr>
            <w:tcW w:w="361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322555"/>
        </w:tc>
        <w:tc>
          <w:tcPr>
            <w:tcW w:w="106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Aadress</w:t>
            </w:r>
          </w:p>
        </w:tc>
        <w:tc>
          <w:tcPr>
            <w:tcW w:w="43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 w:rsidRPr="00202230">
              <w:t>Sinja Gorica 2</w:t>
            </w:r>
            <w:r>
              <w:t xml:space="preserve">, </w:t>
            </w:r>
            <w:r w:rsidRPr="00202230">
              <w:t>SI 1360</w:t>
            </w:r>
            <w:r>
              <w:t xml:space="preserve"> </w:t>
            </w:r>
            <w:r w:rsidRPr="00202230">
              <w:t>Vrhnika</w:t>
            </w:r>
            <w:r>
              <w:t>, Sloveenia</w:t>
            </w:r>
          </w:p>
        </w:tc>
      </w:tr>
      <w:tr w:rsidR="00322555">
        <w:tc>
          <w:tcPr>
            <w:tcW w:w="36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Loa number</w:t>
            </w:r>
          </w:p>
        </w:tc>
        <w:tc>
          <w:tcPr>
            <w:tcW w:w="5415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A44723">
            <w:r w:rsidRPr="00A44723">
              <w:t>EE-0017319-0000</w:t>
            </w:r>
          </w:p>
        </w:tc>
      </w:tr>
      <w:tr w:rsidR="00322555">
        <w:tc>
          <w:tcPr>
            <w:tcW w:w="36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rPr>
                <w:i/>
              </w:rPr>
              <w:t>R4BP registrinumber</w:t>
            </w:r>
          </w:p>
        </w:tc>
        <w:tc>
          <w:tcPr>
            <w:tcW w:w="5415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A44723">
            <w:r w:rsidRPr="00A44723">
              <w:t>EE-0017319-0000</w:t>
            </w:r>
          </w:p>
        </w:tc>
      </w:tr>
      <w:tr w:rsidR="00322555">
        <w:tc>
          <w:tcPr>
            <w:tcW w:w="36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Loa andmise kuupäev</w:t>
            </w:r>
          </w:p>
        </w:tc>
        <w:tc>
          <w:tcPr>
            <w:tcW w:w="5415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9049DA">
            <w:r>
              <w:t>04.03.2021</w:t>
            </w:r>
          </w:p>
        </w:tc>
      </w:tr>
      <w:tr w:rsidR="00322555">
        <w:tc>
          <w:tcPr>
            <w:tcW w:w="36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bookmarkStart w:id="0" w:name="_GoBack" w:colFirst="0" w:colLast="2"/>
            <w:r>
              <w:t>Loa kehtivusaja lõppkuupäev</w:t>
            </w:r>
          </w:p>
        </w:tc>
        <w:tc>
          <w:tcPr>
            <w:tcW w:w="5415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9049DA">
            <w:r>
              <w:t>05.02.2031</w:t>
            </w:r>
          </w:p>
        </w:tc>
      </w:tr>
      <w:bookmarkEnd w:id="0"/>
    </w:tbl>
    <w:p w:rsidR="00322555" w:rsidRDefault="00322555"/>
    <w:p w:rsidR="00322555" w:rsidRDefault="00202230">
      <w:pPr>
        <w:pStyle w:val="Pealkiri2"/>
        <w:rPr>
          <w:i w:val="0"/>
          <w:sz w:val="20"/>
        </w:rPr>
      </w:pPr>
      <w:r>
        <w:rPr>
          <w:b w:val="0"/>
          <w:i w:val="0"/>
          <w:sz w:val="20"/>
        </w:rPr>
        <w:t>1.3.</w:t>
      </w:r>
      <w:r>
        <w:rPr>
          <w:b w:val="0"/>
          <w:i w:val="0"/>
          <w:sz w:val="20"/>
        </w:rPr>
        <w:tab/>
      </w:r>
      <w:r>
        <w:rPr>
          <w:i w:val="0"/>
          <w:sz w:val="20"/>
        </w:rPr>
        <w:t>Toote tootja(d)</w:t>
      </w:r>
    </w:p>
    <w:tbl>
      <w:tblPr>
        <w:tblW w:w="0" w:type="auto"/>
        <w:tblInd w:w="4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0"/>
        <w:gridCol w:w="5415"/>
      </w:tblGrid>
      <w:tr w:rsidR="00322555">
        <w:tc>
          <w:tcPr>
            <w:tcW w:w="36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Tootja nimi</w:t>
            </w:r>
          </w:p>
        </w:tc>
        <w:tc>
          <w:tcPr>
            <w:tcW w:w="54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Unichem d.o.o.</w:t>
            </w:r>
          </w:p>
        </w:tc>
      </w:tr>
      <w:tr w:rsidR="00322555">
        <w:tc>
          <w:tcPr>
            <w:tcW w:w="36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Tootja aadress</w:t>
            </w:r>
          </w:p>
        </w:tc>
        <w:tc>
          <w:tcPr>
            <w:tcW w:w="54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Sinja Gorica 2, 1360 Vrhnika Sloveenia</w:t>
            </w:r>
          </w:p>
        </w:tc>
      </w:tr>
      <w:tr w:rsidR="00322555">
        <w:tc>
          <w:tcPr>
            <w:tcW w:w="36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Tootmiskohtade asukoht</w:t>
            </w:r>
          </w:p>
        </w:tc>
        <w:tc>
          <w:tcPr>
            <w:tcW w:w="54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Sinja Gorica 2, 1360 Vrhnika Sloveenia</w:t>
            </w:r>
          </w:p>
        </w:tc>
      </w:tr>
    </w:tbl>
    <w:p w:rsidR="00322555" w:rsidRDefault="00322555"/>
    <w:p w:rsidR="00322555" w:rsidRDefault="00202230">
      <w:pPr>
        <w:pStyle w:val="Pealkiri2"/>
        <w:rPr>
          <w:i w:val="0"/>
          <w:sz w:val="20"/>
        </w:rPr>
      </w:pPr>
      <w:r>
        <w:rPr>
          <w:b w:val="0"/>
          <w:i w:val="0"/>
          <w:sz w:val="20"/>
        </w:rPr>
        <w:t>1.4.</w:t>
      </w:r>
      <w:r>
        <w:rPr>
          <w:b w:val="0"/>
          <w:i w:val="0"/>
          <w:sz w:val="20"/>
        </w:rPr>
        <w:tab/>
      </w:r>
      <w:r>
        <w:rPr>
          <w:i w:val="0"/>
          <w:sz w:val="20"/>
        </w:rPr>
        <w:t>Toimeaine(te) tootja(d)</w:t>
      </w:r>
    </w:p>
    <w:tbl>
      <w:tblPr>
        <w:tblW w:w="0" w:type="auto"/>
        <w:tblInd w:w="4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0"/>
        <w:gridCol w:w="5415"/>
      </w:tblGrid>
      <w:tr w:rsidR="00322555">
        <w:tc>
          <w:tcPr>
            <w:tcW w:w="36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Toimeaine</w:t>
            </w:r>
          </w:p>
        </w:tc>
        <w:tc>
          <w:tcPr>
            <w:tcW w:w="54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3-fenoksübensüül-(1RS,3RS;1RS,3SR)-3-(2,2-diklorovinüül)-2,2-dimetüültsüklopropaankarboksülaat (permetriin)</w:t>
            </w:r>
          </w:p>
        </w:tc>
      </w:tr>
      <w:tr w:rsidR="00322555">
        <w:tc>
          <w:tcPr>
            <w:tcW w:w="36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Tootja nimi</w:t>
            </w:r>
          </w:p>
        </w:tc>
        <w:tc>
          <w:tcPr>
            <w:tcW w:w="54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Tagros Chemicals India Ltd.</w:t>
            </w:r>
          </w:p>
        </w:tc>
      </w:tr>
      <w:tr w:rsidR="00322555">
        <w:tc>
          <w:tcPr>
            <w:tcW w:w="36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Tootja aadress</w:t>
            </w:r>
          </w:p>
        </w:tc>
        <w:tc>
          <w:tcPr>
            <w:tcW w:w="54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Jhaver Centre, Rajah Annamalai Building, IV floor, 72 Marshalls Road, Egmore, 600 008 Chennai India</w:t>
            </w:r>
          </w:p>
        </w:tc>
      </w:tr>
      <w:tr w:rsidR="00322555">
        <w:tc>
          <w:tcPr>
            <w:tcW w:w="36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Tootmiskohtade asukoht</w:t>
            </w:r>
          </w:p>
        </w:tc>
        <w:tc>
          <w:tcPr>
            <w:tcW w:w="54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A-4/1&amp;2, Sipcot Industrial Complex, Pachayankuppam, Cuddalore, 607 005 Tamilnadu India</w:t>
            </w:r>
          </w:p>
        </w:tc>
      </w:tr>
    </w:tbl>
    <w:p w:rsidR="00322555" w:rsidRDefault="00322555"/>
    <w:p w:rsidR="00322555" w:rsidRDefault="00322555"/>
    <w:p w:rsidR="00322555" w:rsidRDefault="00202230">
      <w:pPr>
        <w:pStyle w:val="Pealkiri1"/>
      </w:pPr>
      <w:r>
        <w:rPr>
          <w:b w:val="0"/>
        </w:rPr>
        <w:t>2.</w:t>
      </w:r>
      <w:r>
        <w:rPr>
          <w:b w:val="0"/>
        </w:rPr>
        <w:tab/>
      </w:r>
      <w:r>
        <w:rPr>
          <w:caps/>
        </w:rPr>
        <w:t>Toote koostis ja olek</w:t>
      </w:r>
    </w:p>
    <w:p w:rsidR="00322555" w:rsidRDefault="00322555"/>
    <w:p w:rsidR="00322555" w:rsidRDefault="00202230">
      <w:pPr>
        <w:pStyle w:val="Pealkiri2"/>
        <w:rPr>
          <w:i w:val="0"/>
          <w:sz w:val="20"/>
        </w:rPr>
      </w:pPr>
      <w:r>
        <w:rPr>
          <w:b w:val="0"/>
          <w:i w:val="0"/>
          <w:sz w:val="20"/>
        </w:rPr>
        <w:t>2.1.</w:t>
      </w:r>
      <w:r>
        <w:rPr>
          <w:b w:val="0"/>
          <w:i w:val="0"/>
          <w:sz w:val="20"/>
        </w:rPr>
        <w:tab/>
      </w:r>
      <w:r>
        <w:rPr>
          <w:i w:val="0"/>
          <w:sz w:val="20"/>
        </w:rPr>
        <w:t>Kvalitatiiv</w:t>
      </w:r>
      <w:r>
        <w:rPr>
          <w:i w:val="0"/>
          <w:sz w:val="20"/>
        </w:rPr>
        <w:t>ne ja kvantitatiivne teave toote koostise kohta</w:t>
      </w:r>
    </w:p>
    <w:tbl>
      <w:tblPr>
        <w:tblW w:w="0" w:type="auto"/>
        <w:tblInd w:w="4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6"/>
        <w:gridCol w:w="1353"/>
        <w:gridCol w:w="1353"/>
        <w:gridCol w:w="1353"/>
        <w:gridCol w:w="1353"/>
        <w:gridCol w:w="1353"/>
      </w:tblGrid>
      <w:tr w:rsidR="00322555">
        <w:trPr>
          <w:trHeight w:val="514"/>
          <w:tblHeader/>
        </w:trPr>
        <w:tc>
          <w:tcPr>
            <w:tcW w:w="225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22555" w:rsidRDefault="00202230">
            <w:pPr>
              <w:jc w:val="center"/>
            </w:pPr>
            <w:r>
              <w:t>Tavanimetus</w:t>
            </w: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22555" w:rsidRDefault="00202230">
            <w:pPr>
              <w:jc w:val="center"/>
            </w:pPr>
            <w:r>
              <w:t>IUPAC nimetus</w:t>
            </w: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22555" w:rsidRDefault="00202230">
            <w:pPr>
              <w:jc w:val="center"/>
            </w:pPr>
            <w:r>
              <w:t>Funktsioon</w:t>
            </w: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22555" w:rsidRDefault="00202230">
            <w:pPr>
              <w:jc w:val="center"/>
            </w:pPr>
            <w:r>
              <w:t>CAS number</w:t>
            </w: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22555" w:rsidRDefault="00202230">
            <w:pPr>
              <w:jc w:val="center"/>
            </w:pPr>
            <w:r>
              <w:t>EÜ number</w:t>
            </w: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22555" w:rsidRDefault="00202230">
            <w:pPr>
              <w:jc w:val="center"/>
            </w:pPr>
            <w:r>
              <w:t>Sisaldus (%)</w:t>
            </w:r>
          </w:p>
        </w:tc>
      </w:tr>
      <w:tr w:rsidR="00322555">
        <w:tc>
          <w:tcPr>
            <w:tcW w:w="225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3-fenoksübensüül-(1RS,3RS;1RS,3SR)-3-(2,2-diklorovinüül)-2,2-dimetüültsüklopropaankarboksülaat (permetriin)</w:t>
            </w: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322555"/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Toimeaine</w:t>
            </w: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52645-53-1</w:t>
            </w: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258-067-9</w:t>
            </w: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0,5</w:t>
            </w:r>
          </w:p>
        </w:tc>
      </w:tr>
    </w:tbl>
    <w:p w:rsidR="00322555" w:rsidRDefault="00322555"/>
    <w:p w:rsidR="00322555" w:rsidRDefault="00202230">
      <w:pPr>
        <w:pStyle w:val="Pealkiri2"/>
        <w:rPr>
          <w:i w:val="0"/>
          <w:sz w:val="20"/>
        </w:rPr>
      </w:pPr>
      <w:r>
        <w:rPr>
          <w:b w:val="0"/>
          <w:i w:val="0"/>
          <w:sz w:val="20"/>
        </w:rPr>
        <w:lastRenderedPageBreak/>
        <w:t>2.2.</w:t>
      </w:r>
      <w:r>
        <w:rPr>
          <w:b w:val="0"/>
          <w:i w:val="0"/>
          <w:sz w:val="20"/>
        </w:rPr>
        <w:tab/>
      </w:r>
      <w:r>
        <w:rPr>
          <w:i w:val="0"/>
          <w:sz w:val="20"/>
        </w:rPr>
        <w:t>Oleku kirjeldus</w:t>
      </w:r>
    </w:p>
    <w:p w:rsidR="00322555" w:rsidRDefault="00202230">
      <w:pPr>
        <w:rPr>
          <w:sz w:val="28"/>
        </w:rPr>
      </w:pPr>
      <w:r>
        <w:t>DP - Tolmav pulber</w:t>
      </w:r>
    </w:p>
    <w:p w:rsidR="00322555" w:rsidRDefault="00322555"/>
    <w:p w:rsidR="00322555" w:rsidRDefault="00202230">
      <w:pPr>
        <w:pStyle w:val="Pealkiri1"/>
      </w:pPr>
      <w:r>
        <w:rPr>
          <w:b w:val="0"/>
        </w:rPr>
        <w:t>3.</w:t>
      </w:r>
      <w:r>
        <w:rPr>
          <w:b w:val="0"/>
        </w:rPr>
        <w:tab/>
      </w:r>
      <w:r>
        <w:rPr>
          <w:caps/>
        </w:rPr>
        <w:t>Ohu- ja hoiatuslaused</w:t>
      </w:r>
    </w:p>
    <w:p w:rsidR="00322555" w:rsidRDefault="00322555"/>
    <w:tbl>
      <w:tblPr>
        <w:tblW w:w="0" w:type="auto"/>
        <w:tblInd w:w="4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6326"/>
      </w:tblGrid>
      <w:tr w:rsidR="00322555">
        <w:tc>
          <w:tcPr>
            <w:tcW w:w="268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Ohulaused</w:t>
            </w:r>
          </w:p>
        </w:tc>
        <w:tc>
          <w:tcPr>
            <w:tcW w:w="63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Väga mürgine veeorganismidele, pikaajaline toime.</w:t>
            </w:r>
            <w:r>
              <w:br/>
              <w:t>Sisaldab permetriini. Võib esile kutsuda allergilise reaktsiooni.</w:t>
            </w:r>
          </w:p>
        </w:tc>
      </w:tr>
      <w:tr w:rsidR="00322555">
        <w:tc>
          <w:tcPr>
            <w:tcW w:w="268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Hoiatuslaused</w:t>
            </w:r>
          </w:p>
        </w:tc>
        <w:tc>
          <w:tcPr>
            <w:tcW w:w="63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Hoida lastele kättesaamatus kohas.</w:t>
            </w:r>
            <w:r>
              <w:br/>
              <w:t>Mahuti kõrvaldada ja sisu kõrvaldada vastavalt riiklikele eeskirjadele.</w:t>
            </w:r>
          </w:p>
        </w:tc>
      </w:tr>
    </w:tbl>
    <w:p w:rsidR="00322555" w:rsidRDefault="00322555"/>
    <w:p w:rsidR="00322555" w:rsidRDefault="00322555"/>
    <w:p w:rsidR="00322555" w:rsidRDefault="00202230">
      <w:pPr>
        <w:pStyle w:val="Pealkiri1"/>
      </w:pPr>
      <w:r>
        <w:rPr>
          <w:b w:val="0"/>
        </w:rPr>
        <w:t>4.</w:t>
      </w:r>
      <w:r>
        <w:rPr>
          <w:b w:val="0"/>
        </w:rPr>
        <w:tab/>
      </w:r>
      <w:r>
        <w:rPr>
          <w:caps/>
        </w:rPr>
        <w:t>Lubatud kasutusala(d)</w:t>
      </w:r>
    </w:p>
    <w:p w:rsidR="00322555" w:rsidRDefault="00322555"/>
    <w:p w:rsidR="00322555" w:rsidRDefault="00202230">
      <w:pPr>
        <w:pStyle w:val="Pealkiri2"/>
        <w:rPr>
          <w:i w:val="0"/>
          <w:sz w:val="20"/>
        </w:rPr>
      </w:pPr>
      <w:r>
        <w:rPr>
          <w:b w:val="0"/>
          <w:i w:val="0"/>
          <w:sz w:val="20"/>
        </w:rPr>
        <w:t>4.1.</w:t>
      </w:r>
      <w:r>
        <w:rPr>
          <w:b w:val="0"/>
          <w:i w:val="0"/>
          <w:sz w:val="20"/>
        </w:rPr>
        <w:tab/>
      </w:r>
      <w:r>
        <w:rPr>
          <w:i w:val="0"/>
          <w:sz w:val="20"/>
        </w:rPr>
        <w:t>Kasutusala kirjeldus</w:t>
      </w:r>
    </w:p>
    <w:p w:rsidR="00322555" w:rsidRDefault="00202230">
      <w:pPr>
        <w:spacing w:after="120"/>
        <w:rPr>
          <w:b/>
        </w:rPr>
      </w:pPr>
      <w:r>
        <w:rPr>
          <w:b/>
        </w:rPr>
        <w:t>Tabel 1. Kasutus # 1 – Koht-, pragude ja lõhede töötlemine – kutselised kasutajad</w:t>
      </w:r>
    </w:p>
    <w:tbl>
      <w:tblPr>
        <w:tblW w:w="0" w:type="auto"/>
        <w:tblInd w:w="4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7"/>
        <w:gridCol w:w="6318"/>
      </w:tblGrid>
      <w:tr w:rsidR="00322555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Tooteliik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To</w:t>
            </w:r>
            <w:r>
              <w:t>oteliik 18 - Insektitsiidid, akaritsiidid ja tooted muude lülijalgsete tõrjeks (kahjuritõrje)</w:t>
            </w:r>
          </w:p>
        </w:tc>
      </w:tr>
      <w:tr w:rsidR="00322555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Vajadusel lubatud kasutusala täpne kirjeldus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322555">
            <w:pPr>
              <w:spacing w:after="269"/>
            </w:pPr>
          </w:p>
          <w:p w:rsidR="00322555" w:rsidRDefault="00202230">
            <w:pPr>
              <w:spacing w:after="269"/>
            </w:pPr>
            <w:r>
              <w:rPr>
                <w:color w:val="000000"/>
              </w:rPr>
              <w:t>Putukamürk</w:t>
            </w:r>
          </w:p>
          <w:p w:rsidR="00322555" w:rsidRDefault="00202230">
            <w:pPr>
              <w:spacing w:after="269"/>
            </w:pPr>
            <w:r>
              <w:br/>
            </w:r>
          </w:p>
          <w:p w:rsidR="00322555" w:rsidRDefault="00322555">
            <w:pPr>
              <w:spacing w:after="269"/>
            </w:pPr>
          </w:p>
        </w:tc>
      </w:tr>
      <w:tr w:rsidR="00322555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Sihtorganism(id) (sh arengujärgus)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Teaduslik nimetus: Hymenoptera: Formicidae:</w:t>
            </w:r>
            <w:r>
              <w:br/>
              <w:t>Tavanimetus: Sipelgad</w:t>
            </w:r>
            <w:r>
              <w:br/>
              <w:t>Arengustaadium: Täiskasvanud |Putukad, imetajad (nt. närilised)</w:t>
            </w:r>
            <w:r>
              <w:br/>
              <w:t xml:space="preserve"> </w:t>
            </w:r>
            <w:r>
              <w:br/>
              <w:t>Teaduslik nimetus: Blattodea:</w:t>
            </w:r>
            <w:r>
              <w:br/>
              <w:t>Tavanimetus: Prussakad</w:t>
            </w:r>
            <w:r>
              <w:br/>
              <w:t>Arengustaadium: vastsed ja täiskasvanud</w:t>
            </w:r>
            <w:r>
              <w:br/>
              <w:t xml:space="preserve"> </w:t>
            </w:r>
          </w:p>
        </w:tc>
      </w:tr>
      <w:tr w:rsidR="00322555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Kasutuskoht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Sisetingimustes</w:t>
            </w:r>
            <w:r>
              <w:br/>
              <w:t>Siseruumides</w:t>
            </w:r>
          </w:p>
        </w:tc>
      </w:tr>
      <w:tr w:rsidR="00322555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Kasutusmeetod(id)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Meetod: Käsitsi pealekandmine</w:t>
            </w:r>
          </w:p>
          <w:p w:rsidR="00322555" w:rsidRDefault="00322555">
            <w:pPr>
              <w:spacing w:after="269"/>
            </w:pPr>
          </w:p>
          <w:p w:rsidR="00322555" w:rsidRDefault="00202230">
            <w:r>
              <w:t>Ük</w:t>
            </w:r>
            <w:r>
              <w:t xml:space="preserve">sikasjalik kirjeldus: </w:t>
            </w:r>
          </w:p>
          <w:p w:rsidR="00322555" w:rsidRDefault="00322555">
            <w:pPr>
              <w:spacing w:after="269"/>
            </w:pPr>
          </w:p>
          <w:p w:rsidR="00322555" w:rsidRDefault="00322555">
            <w:pPr>
              <w:spacing w:after="269"/>
            </w:pPr>
          </w:p>
          <w:p w:rsidR="00322555" w:rsidRDefault="00202230">
            <w:pPr>
              <w:spacing w:after="269"/>
            </w:pPr>
            <w:r>
              <w:rPr>
                <w:color w:val="000000"/>
              </w:rPr>
              <w:t>Siseruumides pindadele (puit, betoon ja siledad pinnad, nagu klaas, keraamika jne) puistatav pulber ainult koht-töötlemiseks ning pragude ja lõhede töötlemiseks.</w:t>
            </w:r>
          </w:p>
          <w:p w:rsidR="00322555" w:rsidRDefault="00202230">
            <w:pPr>
              <w:spacing w:after="269"/>
            </w:pPr>
            <w:r>
              <w:br/>
            </w:r>
          </w:p>
          <w:p w:rsidR="00322555" w:rsidRDefault="00322555">
            <w:pPr>
              <w:spacing w:after="269"/>
            </w:pPr>
          </w:p>
        </w:tc>
      </w:tr>
      <w:tr w:rsidR="00322555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lastRenderedPageBreak/>
              <w:t>Kasutuskogus(ed) ja sagedus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Kasutusmäär: 1 g toodet m2 kohta.</w:t>
            </w:r>
          </w:p>
          <w:p w:rsidR="00322555" w:rsidRDefault="00322555">
            <w:pPr>
              <w:spacing w:after="269"/>
            </w:pPr>
          </w:p>
          <w:p w:rsidR="00322555" w:rsidRDefault="00202230">
            <w:r>
              <w:t>Lahjendus (%): 0</w:t>
            </w:r>
          </w:p>
          <w:p w:rsidR="00322555" w:rsidRDefault="00322555">
            <w:pPr>
              <w:spacing w:after="269"/>
            </w:pPr>
          </w:p>
          <w:p w:rsidR="00322555" w:rsidRDefault="00202230">
            <w:r>
              <w:t xml:space="preserve">Kasutamise arv ja ajastus: </w:t>
            </w:r>
          </w:p>
          <w:p w:rsidR="00322555" w:rsidRDefault="00322555">
            <w:pPr>
              <w:spacing w:after="269"/>
            </w:pPr>
          </w:p>
          <w:p w:rsidR="00322555" w:rsidRDefault="00202230">
            <w:pPr>
              <w:spacing w:after="269"/>
            </w:pPr>
            <w:r>
              <w:rPr>
                <w:color w:val="000000"/>
              </w:rPr>
              <w:t>Pinda puhastamata võib toode püsida aktiivne 3 nädalat. Toodet ei tohi ühes rakenduskohas kasutada rohkem kui üks kord kuus.</w:t>
            </w:r>
          </w:p>
          <w:p w:rsidR="00322555" w:rsidRDefault="00322555">
            <w:pPr>
              <w:spacing w:after="269"/>
            </w:pPr>
          </w:p>
          <w:p w:rsidR="00322555" w:rsidRDefault="00202230">
            <w:pPr>
              <w:spacing w:after="269"/>
            </w:pPr>
            <w:r>
              <w:br/>
            </w:r>
          </w:p>
        </w:tc>
      </w:tr>
      <w:tr w:rsidR="00322555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Kasutajarühm(ad)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Väljaõppe saanud kutseline kasutaja</w:t>
            </w:r>
            <w:r>
              <w:br/>
              <w:t>Kutseline kasutaja</w:t>
            </w:r>
          </w:p>
        </w:tc>
      </w:tr>
      <w:tr w:rsidR="00322555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Pakendi suurused ja pakendimaterjal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322555"/>
          <w:p w:rsidR="00322555" w:rsidRDefault="00322555">
            <w:pPr>
              <w:spacing w:after="269"/>
            </w:pPr>
          </w:p>
          <w:p w:rsidR="00322555" w:rsidRDefault="00202230">
            <w:pPr>
              <w:spacing w:after="269"/>
            </w:pPr>
            <w:r>
              <w:rPr>
                <w:color w:val="000000"/>
              </w:rPr>
              <w:t>5–25 kg jõupaberist kott (paber/plast (PE/PP) foolium/paber)</w:t>
            </w:r>
            <w:r>
              <w:br/>
            </w:r>
            <w:r>
              <w:rPr>
                <w:color w:val="000000"/>
              </w:rPr>
              <w:t xml:space="preserve"> 1–10 kg ämbrid (HDPE, PE, PP)</w:t>
            </w:r>
            <w:r>
              <w:br/>
            </w:r>
            <w:r>
              <w:rPr>
                <w:color w:val="000000"/>
              </w:rPr>
              <w:t xml:space="preserve"> 50–300 g mahutid (HDPE) (loksutipudel)</w:t>
            </w:r>
            <w:r>
              <w:br/>
            </w:r>
            <w:r>
              <w:rPr>
                <w:color w:val="000000"/>
              </w:rPr>
              <w:t xml:space="preserve"> 50–300 g papp-anum (PAP), mille sees on Al-kiht (loksutipudel)</w:t>
            </w:r>
          </w:p>
          <w:p w:rsidR="00322555" w:rsidRDefault="00202230">
            <w:pPr>
              <w:spacing w:after="269"/>
            </w:pPr>
            <w:r>
              <w:br/>
            </w:r>
          </w:p>
          <w:p w:rsidR="00322555" w:rsidRDefault="00202230">
            <w:pPr>
              <w:spacing w:after="269"/>
            </w:pPr>
            <w:r>
              <w:br/>
            </w:r>
          </w:p>
          <w:p w:rsidR="00322555" w:rsidRDefault="00322555">
            <w:pPr>
              <w:spacing w:after="269"/>
            </w:pPr>
          </w:p>
        </w:tc>
      </w:tr>
    </w:tbl>
    <w:p w:rsidR="00322555" w:rsidRDefault="00322555"/>
    <w:p w:rsidR="00322555" w:rsidRDefault="00202230">
      <w:pPr>
        <w:pStyle w:val="Pealkiri2"/>
        <w:spacing w:before="0" w:after="120"/>
        <w:rPr>
          <w:b w:val="0"/>
          <w:i w:val="0"/>
          <w:sz w:val="20"/>
        </w:rPr>
      </w:pPr>
      <w:r>
        <w:rPr>
          <w:b w:val="0"/>
          <w:i w:val="0"/>
          <w:sz w:val="20"/>
        </w:rPr>
        <w:t>4.1.1.</w:t>
      </w:r>
      <w:r>
        <w:rPr>
          <w:b w:val="0"/>
          <w:i w:val="0"/>
          <w:sz w:val="20"/>
        </w:rPr>
        <w:tab/>
      </w:r>
      <w:r>
        <w:rPr>
          <w:b w:val="0"/>
          <w:sz w:val="20"/>
        </w:rPr>
        <w:t>Kasutusa</w:t>
      </w:r>
      <w:r>
        <w:rPr>
          <w:b w:val="0"/>
          <w:sz w:val="20"/>
        </w:rPr>
        <w:t>la spetsiifilised kasutusjuhendid</w:t>
      </w:r>
    </w:p>
    <w:p w:rsidR="00322555" w:rsidRDefault="00322555">
      <w:pPr>
        <w:spacing w:after="269"/>
      </w:pPr>
    </w:p>
    <w:p w:rsidR="00322555" w:rsidRDefault="00322555">
      <w:pPr>
        <w:spacing w:after="269"/>
      </w:pPr>
    </w:p>
    <w:p w:rsidR="00322555" w:rsidRDefault="00202230">
      <w:pPr>
        <w:spacing w:after="269"/>
      </w:pPr>
      <w:r>
        <w:rPr>
          <w:color w:val="000000"/>
        </w:rPr>
        <w:t>Kutselised kasutajad võivad mugavuse huvides kallata väikse koguse toodet enne töökohast lahkumist suurest mahutist väiksemasse – mille kutseline kasutaja on sisu tuvastamiseks vastavalt märgistanud –, et ei peaks ämbrei</w:t>
      </w:r>
      <w:r>
        <w:rPr>
          <w:color w:val="000000"/>
        </w:rPr>
        <w:t>d ja kotte kaasas kandma.</w:t>
      </w:r>
    </w:p>
    <w:p w:rsidR="00322555" w:rsidRDefault="00322555">
      <w:pPr>
        <w:spacing w:after="269"/>
      </w:pPr>
    </w:p>
    <w:p w:rsidR="00322555" w:rsidRDefault="00202230">
      <w:pPr>
        <w:spacing w:after="269"/>
      </w:pPr>
      <w:r>
        <w:br/>
      </w:r>
    </w:p>
    <w:p w:rsidR="00322555" w:rsidRDefault="00202230">
      <w:pPr>
        <w:spacing w:after="269"/>
      </w:pPr>
      <w:r>
        <w:lastRenderedPageBreak/>
        <w:br/>
      </w:r>
    </w:p>
    <w:p w:rsidR="00322555" w:rsidRDefault="00202230">
      <w:pPr>
        <w:pStyle w:val="Pealkiri1"/>
        <w:spacing w:after="120"/>
        <w:rPr>
          <w:b w:val="0"/>
          <w:sz w:val="20"/>
        </w:rPr>
      </w:pPr>
      <w:r>
        <w:rPr>
          <w:b w:val="0"/>
          <w:sz w:val="20"/>
        </w:rPr>
        <w:t>4.1.2.</w:t>
      </w:r>
      <w:r>
        <w:rPr>
          <w:b w:val="0"/>
          <w:sz w:val="20"/>
        </w:rPr>
        <w:tab/>
      </w:r>
      <w:r>
        <w:rPr>
          <w:b w:val="0"/>
          <w:i/>
          <w:sz w:val="20"/>
        </w:rPr>
        <w:t>Kasutusala spetsiifilised riskivähendamismeetmed</w:t>
      </w:r>
    </w:p>
    <w:p w:rsidR="00322555" w:rsidRDefault="00202230">
      <w:pPr>
        <w:spacing w:after="269"/>
      </w:pPr>
      <w:r>
        <w:rPr>
          <w:color w:val="000000"/>
        </w:rPr>
        <w:t xml:space="preserve">Kui kutseline kasutaja kallab toote teise mahutisse, peab mahuti olema nõuetekohaselt märgistatud, et sisu oleks võimalik selgelt tuvastada. Toote ümber kallamisel on </w:t>
      </w:r>
      <w:r>
        <w:rPr>
          <w:color w:val="000000"/>
        </w:rPr>
        <w:t>vajalik vähemalt kaitseteguriga 4 või kõrgema kaitseteguriga hingamisteede kaitsevahendit.</w:t>
      </w:r>
      <w:r>
        <w:br/>
      </w:r>
      <w:r>
        <w:br/>
      </w:r>
    </w:p>
    <w:p w:rsidR="00322555" w:rsidRDefault="00202230">
      <w:pPr>
        <w:pStyle w:val="Pealkiri1"/>
        <w:spacing w:after="120"/>
        <w:rPr>
          <w:b w:val="0"/>
          <w:sz w:val="20"/>
        </w:rPr>
      </w:pPr>
      <w:r>
        <w:rPr>
          <w:b w:val="0"/>
          <w:sz w:val="20"/>
        </w:rPr>
        <w:t>4.1.3.</w:t>
      </w:r>
      <w:r>
        <w:rPr>
          <w:b w:val="0"/>
          <w:sz w:val="20"/>
        </w:rPr>
        <w:tab/>
      </w:r>
      <w:r>
        <w:rPr>
          <w:b w:val="0"/>
          <w:i/>
          <w:sz w:val="20"/>
        </w:rPr>
        <w:t>Vajadusel tõenäoline otsene või kaudne kahjulik toime, esmaabimeetmed ja keskkonnakaitsemeetmed hädaolukorras.</w:t>
      </w:r>
    </w:p>
    <w:p w:rsidR="00322555" w:rsidRDefault="00202230">
      <w:pPr>
        <w:spacing w:after="269"/>
      </w:pPr>
      <w:r>
        <w:rPr>
          <w:color w:val="000000"/>
        </w:rPr>
        <w:t>Vaadake üldisi kasutusjuhiseid.</w:t>
      </w:r>
    </w:p>
    <w:p w:rsidR="00322555" w:rsidRDefault="00202230">
      <w:pPr>
        <w:pStyle w:val="Pealkiri1"/>
        <w:spacing w:after="120"/>
        <w:rPr>
          <w:b w:val="0"/>
          <w:sz w:val="20"/>
        </w:rPr>
      </w:pPr>
      <w:r>
        <w:rPr>
          <w:b w:val="0"/>
          <w:sz w:val="20"/>
        </w:rPr>
        <w:t>4.1.4.</w:t>
      </w:r>
      <w:r>
        <w:rPr>
          <w:b w:val="0"/>
          <w:sz w:val="20"/>
        </w:rPr>
        <w:tab/>
      </w:r>
      <w:r>
        <w:rPr>
          <w:b w:val="0"/>
          <w:i/>
          <w:sz w:val="20"/>
        </w:rPr>
        <w:t>Vajadu</w:t>
      </w:r>
      <w:r>
        <w:rPr>
          <w:b w:val="0"/>
          <w:i/>
          <w:sz w:val="20"/>
        </w:rPr>
        <w:t>sel  juhised toote ja selle pakendi ohutuks hävitamiseks.</w:t>
      </w:r>
    </w:p>
    <w:p w:rsidR="00322555" w:rsidRDefault="00202230">
      <w:pPr>
        <w:spacing w:after="269"/>
      </w:pPr>
      <w:r>
        <w:rPr>
          <w:color w:val="000000"/>
        </w:rPr>
        <w:t>Vaadake üldisi kasutusjuhiseid.</w:t>
      </w:r>
    </w:p>
    <w:p w:rsidR="00322555" w:rsidRDefault="00202230">
      <w:pPr>
        <w:pStyle w:val="Pealkiri1"/>
        <w:spacing w:after="120"/>
        <w:rPr>
          <w:b w:val="0"/>
          <w:sz w:val="20"/>
        </w:rPr>
      </w:pPr>
      <w:r>
        <w:rPr>
          <w:b w:val="0"/>
          <w:sz w:val="20"/>
        </w:rPr>
        <w:t>4.1.5.</w:t>
      </w:r>
      <w:r>
        <w:rPr>
          <w:b w:val="0"/>
          <w:sz w:val="20"/>
        </w:rPr>
        <w:tab/>
      </w:r>
      <w:r>
        <w:rPr>
          <w:b w:val="0"/>
          <w:i/>
          <w:sz w:val="20"/>
        </w:rPr>
        <w:t>Vajadusel  toote ladustamistingimused ja säilivusaeg normaalsetes ladustamistingimustes.</w:t>
      </w:r>
    </w:p>
    <w:p w:rsidR="00322555" w:rsidRDefault="00202230">
      <w:pPr>
        <w:spacing w:after="269"/>
      </w:pPr>
      <w:r>
        <w:rPr>
          <w:color w:val="000000"/>
        </w:rPr>
        <w:t>Vaadake üldisi kasutusjuhiseid.</w:t>
      </w:r>
    </w:p>
    <w:p w:rsidR="00322555" w:rsidRDefault="00322555"/>
    <w:p w:rsidR="00322555" w:rsidRDefault="00202230">
      <w:pPr>
        <w:pStyle w:val="Pealkiri2"/>
        <w:rPr>
          <w:i w:val="0"/>
          <w:sz w:val="20"/>
        </w:rPr>
      </w:pPr>
      <w:r>
        <w:rPr>
          <w:b w:val="0"/>
          <w:i w:val="0"/>
          <w:sz w:val="20"/>
        </w:rPr>
        <w:t>4.2.</w:t>
      </w:r>
      <w:r>
        <w:rPr>
          <w:b w:val="0"/>
          <w:i w:val="0"/>
          <w:sz w:val="20"/>
        </w:rPr>
        <w:tab/>
      </w:r>
      <w:r>
        <w:rPr>
          <w:i w:val="0"/>
          <w:sz w:val="20"/>
        </w:rPr>
        <w:t>Kasutusala kirjeldus</w:t>
      </w:r>
    </w:p>
    <w:p w:rsidR="00322555" w:rsidRDefault="00202230">
      <w:pPr>
        <w:spacing w:after="120"/>
        <w:rPr>
          <w:b/>
        </w:rPr>
      </w:pPr>
      <w:r>
        <w:rPr>
          <w:b/>
        </w:rPr>
        <w:t>Tabel 2. Ka</w:t>
      </w:r>
      <w:r>
        <w:rPr>
          <w:b/>
        </w:rPr>
        <w:t>sutus # 2 – Koht-, pragude ja lõhede töötlemine – tavakasutajatele</w:t>
      </w:r>
    </w:p>
    <w:tbl>
      <w:tblPr>
        <w:tblW w:w="0" w:type="auto"/>
        <w:tblInd w:w="4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7"/>
        <w:gridCol w:w="6318"/>
      </w:tblGrid>
      <w:tr w:rsidR="00322555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Tooteliik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Tooteliik 18 - Insektitsiidid, akaritsiidid ja tooted muude lülijalgsete tõrjeks (kahjuritõrje)</w:t>
            </w:r>
          </w:p>
        </w:tc>
      </w:tr>
      <w:tr w:rsidR="00322555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Vajadusel lubatud kasutusala täpne kirjeldus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322555">
            <w:pPr>
              <w:spacing w:after="269"/>
            </w:pPr>
          </w:p>
          <w:p w:rsidR="00322555" w:rsidRDefault="00202230">
            <w:pPr>
              <w:spacing w:after="269"/>
            </w:pPr>
            <w:r>
              <w:rPr>
                <w:color w:val="000000"/>
              </w:rPr>
              <w:t>Putukamürk</w:t>
            </w:r>
          </w:p>
          <w:p w:rsidR="00322555" w:rsidRDefault="00202230">
            <w:pPr>
              <w:spacing w:after="269"/>
            </w:pPr>
            <w:r>
              <w:br/>
            </w:r>
          </w:p>
          <w:p w:rsidR="00322555" w:rsidRDefault="00322555">
            <w:pPr>
              <w:spacing w:after="269"/>
            </w:pPr>
          </w:p>
        </w:tc>
      </w:tr>
      <w:tr w:rsidR="00322555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Sihtorganism(id) (sh arengujärgus)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Teaduslik nimetus: Hymenoptera: Formicidae:</w:t>
            </w:r>
            <w:r>
              <w:br/>
              <w:t>Tavanimetus: Sipelgad</w:t>
            </w:r>
            <w:r>
              <w:br/>
              <w:t>Arengustaadium: Täiskasvanud |Putukad, imetajad (nt. närilised)</w:t>
            </w:r>
            <w:r>
              <w:br/>
              <w:t xml:space="preserve"> </w:t>
            </w:r>
            <w:r>
              <w:br/>
              <w:t>Teaduslik nimetus: Blattodea:</w:t>
            </w:r>
            <w:r>
              <w:br/>
              <w:t>Tavanimetus: Prussakad</w:t>
            </w:r>
            <w:r>
              <w:br/>
              <w:t>Arengustaadium: vastsed ja täiskasva</w:t>
            </w:r>
            <w:r>
              <w:t>nud</w:t>
            </w:r>
            <w:r>
              <w:br/>
              <w:t xml:space="preserve"> </w:t>
            </w:r>
          </w:p>
        </w:tc>
      </w:tr>
      <w:tr w:rsidR="00322555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Kasutuskoht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Sisetingimustes</w:t>
            </w:r>
            <w:r>
              <w:br/>
              <w:t>Siseruumides</w:t>
            </w:r>
          </w:p>
        </w:tc>
      </w:tr>
      <w:tr w:rsidR="00322555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Kasutusmeetod(id)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Meetod: Käsitsi pealekandmine</w:t>
            </w:r>
          </w:p>
          <w:p w:rsidR="00322555" w:rsidRDefault="00322555">
            <w:pPr>
              <w:spacing w:after="269"/>
            </w:pPr>
          </w:p>
          <w:p w:rsidR="00322555" w:rsidRDefault="00202230">
            <w:r>
              <w:t xml:space="preserve">Üksikasjalik kirjeldus: </w:t>
            </w:r>
          </w:p>
          <w:p w:rsidR="00322555" w:rsidRDefault="00322555">
            <w:pPr>
              <w:spacing w:after="269"/>
            </w:pPr>
          </w:p>
          <w:p w:rsidR="00322555" w:rsidRDefault="00322555">
            <w:pPr>
              <w:spacing w:after="269"/>
            </w:pPr>
          </w:p>
          <w:p w:rsidR="00322555" w:rsidRDefault="00202230">
            <w:pPr>
              <w:spacing w:after="269"/>
            </w:pPr>
            <w:r>
              <w:rPr>
                <w:color w:val="000000"/>
              </w:rPr>
              <w:t xml:space="preserve">Siseruumides pindadele (puit, betoon ja siledad pinnad, nagu klaas, keraamika jne) puistatav pulber ainult koht-töötlemiseks ning </w:t>
            </w:r>
            <w:r>
              <w:rPr>
                <w:color w:val="000000"/>
              </w:rPr>
              <w:t>pragude ja lõhede töötlemiseks.</w:t>
            </w:r>
          </w:p>
          <w:p w:rsidR="00322555" w:rsidRDefault="00202230">
            <w:pPr>
              <w:spacing w:after="269"/>
            </w:pPr>
            <w:r>
              <w:br/>
            </w:r>
          </w:p>
          <w:p w:rsidR="00322555" w:rsidRDefault="00322555">
            <w:pPr>
              <w:spacing w:after="269"/>
            </w:pPr>
          </w:p>
        </w:tc>
      </w:tr>
      <w:tr w:rsidR="00322555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lastRenderedPageBreak/>
              <w:t>Kasutuskogus(ed) ja sagedus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Kasutusmäär: 1 g toodet m2 kohta.</w:t>
            </w:r>
          </w:p>
          <w:p w:rsidR="00322555" w:rsidRDefault="00322555">
            <w:pPr>
              <w:spacing w:after="269"/>
            </w:pPr>
          </w:p>
          <w:p w:rsidR="00322555" w:rsidRDefault="00202230">
            <w:r>
              <w:t>Lahjendus (%): 0</w:t>
            </w:r>
          </w:p>
          <w:p w:rsidR="00322555" w:rsidRDefault="00322555">
            <w:pPr>
              <w:spacing w:after="269"/>
            </w:pPr>
          </w:p>
          <w:p w:rsidR="00322555" w:rsidRDefault="00202230">
            <w:r>
              <w:t xml:space="preserve">Kasutamise arv ja ajastus: </w:t>
            </w:r>
          </w:p>
          <w:p w:rsidR="00322555" w:rsidRDefault="00322555">
            <w:pPr>
              <w:spacing w:after="269"/>
            </w:pPr>
          </w:p>
          <w:p w:rsidR="00322555" w:rsidRDefault="00202230">
            <w:pPr>
              <w:spacing w:after="269"/>
            </w:pPr>
            <w:r>
              <w:rPr>
                <w:color w:val="000000"/>
              </w:rPr>
              <w:t xml:space="preserve">Pinda puhastamata võib toode püsida aktiivne 3 nädalat. Toodet ei tohi ühes rakenduskohas kasutada rohkem kui </w:t>
            </w:r>
            <w:r>
              <w:rPr>
                <w:color w:val="000000"/>
              </w:rPr>
              <w:t>üks kord kuus.</w:t>
            </w:r>
          </w:p>
          <w:p w:rsidR="00322555" w:rsidRDefault="00322555">
            <w:pPr>
              <w:spacing w:after="269"/>
            </w:pPr>
          </w:p>
          <w:p w:rsidR="00322555" w:rsidRDefault="00202230">
            <w:pPr>
              <w:spacing w:after="269"/>
            </w:pPr>
            <w:r>
              <w:br/>
            </w:r>
          </w:p>
        </w:tc>
      </w:tr>
      <w:tr w:rsidR="00322555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Kasutajarühm(ad)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Tavatarbija (mittekutseline kasutaja)</w:t>
            </w:r>
          </w:p>
        </w:tc>
      </w:tr>
      <w:tr w:rsidR="00322555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202230">
            <w:r>
              <w:t>Pakendi suurused ja pakendimaterjal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2555" w:rsidRDefault="00322555"/>
          <w:p w:rsidR="00322555" w:rsidRDefault="00322555">
            <w:pPr>
              <w:spacing w:after="269"/>
            </w:pPr>
          </w:p>
          <w:p w:rsidR="00322555" w:rsidRDefault="00202230">
            <w:pPr>
              <w:spacing w:after="269"/>
            </w:pPr>
            <w:r>
              <w:rPr>
                <w:color w:val="000000"/>
              </w:rPr>
              <w:t>50–300 g mahutid (HDPE) (loksutipudel)</w:t>
            </w:r>
            <w:r>
              <w:br/>
            </w:r>
            <w:r>
              <w:rPr>
                <w:color w:val="000000"/>
              </w:rPr>
              <w:t xml:space="preserve"> 50–300 g papp-anum (PAP), mille sees on Al-kiht (loksutipudel)</w:t>
            </w:r>
          </w:p>
          <w:p w:rsidR="00322555" w:rsidRDefault="00202230">
            <w:pPr>
              <w:spacing w:after="269"/>
            </w:pPr>
            <w:r>
              <w:br/>
            </w:r>
          </w:p>
          <w:p w:rsidR="00322555" w:rsidRDefault="00322555">
            <w:pPr>
              <w:spacing w:after="269"/>
            </w:pPr>
          </w:p>
        </w:tc>
      </w:tr>
    </w:tbl>
    <w:p w:rsidR="00322555" w:rsidRDefault="00322555"/>
    <w:p w:rsidR="00322555" w:rsidRDefault="00202230">
      <w:pPr>
        <w:pStyle w:val="Pealkiri2"/>
        <w:spacing w:before="0" w:after="120"/>
        <w:rPr>
          <w:b w:val="0"/>
          <w:i w:val="0"/>
          <w:sz w:val="20"/>
        </w:rPr>
      </w:pPr>
      <w:r>
        <w:rPr>
          <w:b w:val="0"/>
          <w:i w:val="0"/>
          <w:sz w:val="20"/>
        </w:rPr>
        <w:t>4.2.1.</w:t>
      </w:r>
      <w:r>
        <w:rPr>
          <w:b w:val="0"/>
          <w:i w:val="0"/>
          <w:sz w:val="20"/>
        </w:rPr>
        <w:tab/>
      </w:r>
      <w:r>
        <w:rPr>
          <w:b w:val="0"/>
          <w:sz w:val="20"/>
        </w:rPr>
        <w:t>Kasutusala spetsiifilised kasutusjuhendid</w:t>
      </w:r>
    </w:p>
    <w:p w:rsidR="00322555" w:rsidRDefault="00322555">
      <w:pPr>
        <w:spacing w:after="269"/>
      </w:pPr>
    </w:p>
    <w:p w:rsidR="00322555" w:rsidRDefault="00322555">
      <w:pPr>
        <w:spacing w:after="269"/>
      </w:pPr>
    </w:p>
    <w:p w:rsidR="00322555" w:rsidRDefault="00202230">
      <w:pPr>
        <w:spacing w:after="269"/>
      </w:pPr>
      <w:r>
        <w:rPr>
          <w:color w:val="000000"/>
        </w:rPr>
        <w:t>Vaadake üldisi kasutusjuhiseid.</w:t>
      </w:r>
    </w:p>
    <w:p w:rsidR="00322555" w:rsidRDefault="00322555">
      <w:pPr>
        <w:spacing w:after="269"/>
      </w:pPr>
    </w:p>
    <w:p w:rsidR="00322555" w:rsidRDefault="00202230">
      <w:pPr>
        <w:spacing w:after="269"/>
      </w:pPr>
      <w:r>
        <w:br/>
      </w:r>
    </w:p>
    <w:p w:rsidR="00322555" w:rsidRDefault="00202230">
      <w:pPr>
        <w:pStyle w:val="Pealkiri1"/>
        <w:spacing w:after="120"/>
        <w:rPr>
          <w:b w:val="0"/>
          <w:sz w:val="20"/>
        </w:rPr>
      </w:pPr>
      <w:r>
        <w:rPr>
          <w:b w:val="0"/>
          <w:sz w:val="20"/>
        </w:rPr>
        <w:lastRenderedPageBreak/>
        <w:t>4.2.2.</w:t>
      </w:r>
      <w:r>
        <w:rPr>
          <w:b w:val="0"/>
          <w:sz w:val="20"/>
        </w:rPr>
        <w:tab/>
      </w:r>
      <w:r>
        <w:rPr>
          <w:b w:val="0"/>
          <w:i/>
          <w:sz w:val="20"/>
        </w:rPr>
        <w:t>Kasutusala spetsiifilised riskivähendamismeetmed</w:t>
      </w:r>
    </w:p>
    <w:p w:rsidR="00322555" w:rsidRDefault="00202230">
      <w:pPr>
        <w:spacing w:after="269"/>
      </w:pPr>
      <w:r>
        <w:rPr>
          <w:color w:val="000000"/>
        </w:rPr>
        <w:t>Vaadake üldisi kasutusjuhiseid.</w:t>
      </w:r>
      <w:r>
        <w:br/>
      </w:r>
    </w:p>
    <w:p w:rsidR="00322555" w:rsidRDefault="00202230">
      <w:pPr>
        <w:pStyle w:val="Pealkiri1"/>
        <w:spacing w:after="120"/>
        <w:rPr>
          <w:b w:val="0"/>
          <w:sz w:val="20"/>
        </w:rPr>
      </w:pPr>
      <w:r>
        <w:rPr>
          <w:b w:val="0"/>
          <w:sz w:val="20"/>
        </w:rPr>
        <w:t>4.2.3.</w:t>
      </w:r>
      <w:r>
        <w:rPr>
          <w:b w:val="0"/>
          <w:sz w:val="20"/>
        </w:rPr>
        <w:tab/>
      </w:r>
      <w:r>
        <w:rPr>
          <w:b w:val="0"/>
          <w:i/>
          <w:sz w:val="20"/>
        </w:rPr>
        <w:t>Vajadusel tõenäoline otsene või kaudne kahjulik toime, esmaabimeetmed ja keskkonn</w:t>
      </w:r>
      <w:r>
        <w:rPr>
          <w:b w:val="0"/>
          <w:i/>
          <w:sz w:val="20"/>
        </w:rPr>
        <w:t>akaitsemeetmed hädaolukorras.</w:t>
      </w:r>
    </w:p>
    <w:p w:rsidR="00322555" w:rsidRDefault="00202230">
      <w:pPr>
        <w:spacing w:after="269"/>
      </w:pPr>
      <w:r>
        <w:rPr>
          <w:color w:val="000000"/>
        </w:rPr>
        <w:t>Vaadake üldisi kasutusjuhiseid.</w:t>
      </w:r>
    </w:p>
    <w:p w:rsidR="00322555" w:rsidRDefault="00202230">
      <w:pPr>
        <w:pStyle w:val="Pealkiri1"/>
        <w:spacing w:after="120"/>
        <w:rPr>
          <w:b w:val="0"/>
          <w:sz w:val="20"/>
        </w:rPr>
      </w:pPr>
      <w:r>
        <w:rPr>
          <w:b w:val="0"/>
          <w:sz w:val="20"/>
        </w:rPr>
        <w:t>4.2.4.</w:t>
      </w:r>
      <w:r>
        <w:rPr>
          <w:b w:val="0"/>
          <w:sz w:val="20"/>
        </w:rPr>
        <w:tab/>
      </w:r>
      <w:r>
        <w:rPr>
          <w:b w:val="0"/>
          <w:i/>
          <w:sz w:val="20"/>
        </w:rPr>
        <w:t>Vajadusel  juhised toote ja selle pakendi ohutuks hävitamiseks.</w:t>
      </w:r>
    </w:p>
    <w:p w:rsidR="00322555" w:rsidRDefault="00202230">
      <w:pPr>
        <w:spacing w:after="269"/>
      </w:pPr>
      <w:r>
        <w:rPr>
          <w:color w:val="000000"/>
        </w:rPr>
        <w:t>Vaadake üldisi kasutusjuhiseid.</w:t>
      </w:r>
    </w:p>
    <w:p w:rsidR="00322555" w:rsidRDefault="00202230">
      <w:pPr>
        <w:pStyle w:val="Pealkiri1"/>
        <w:spacing w:after="120"/>
        <w:rPr>
          <w:b w:val="0"/>
          <w:sz w:val="20"/>
        </w:rPr>
      </w:pPr>
      <w:r>
        <w:rPr>
          <w:b w:val="0"/>
          <w:sz w:val="20"/>
        </w:rPr>
        <w:t>4.2.5.</w:t>
      </w:r>
      <w:r>
        <w:rPr>
          <w:b w:val="0"/>
          <w:sz w:val="20"/>
        </w:rPr>
        <w:tab/>
      </w:r>
      <w:r>
        <w:rPr>
          <w:b w:val="0"/>
          <w:i/>
          <w:sz w:val="20"/>
        </w:rPr>
        <w:t>Vajadusel  toote ladustamistingimused ja säilivusaeg normaalsetes ladustamistingimus</w:t>
      </w:r>
      <w:r>
        <w:rPr>
          <w:b w:val="0"/>
          <w:i/>
          <w:sz w:val="20"/>
        </w:rPr>
        <w:t>tes.</w:t>
      </w:r>
    </w:p>
    <w:p w:rsidR="00322555" w:rsidRDefault="00202230">
      <w:pPr>
        <w:spacing w:after="269"/>
      </w:pPr>
      <w:r>
        <w:rPr>
          <w:color w:val="000000"/>
        </w:rPr>
        <w:t>Vaadake üldisi kasutusjuhiseid.</w:t>
      </w:r>
    </w:p>
    <w:p w:rsidR="00322555" w:rsidRDefault="00322555"/>
    <w:p w:rsidR="00322555" w:rsidRDefault="00202230">
      <w:pPr>
        <w:pStyle w:val="Pealkiri1"/>
      </w:pPr>
      <w:r>
        <w:t>5.</w:t>
      </w:r>
      <w:r>
        <w:tab/>
      </w:r>
      <w:r>
        <w:rPr>
          <w:caps/>
        </w:rPr>
        <w:t>Üldised kasutamisjuhised</w:t>
      </w:r>
      <w:r>
        <w:rPr>
          <w:rStyle w:val="Allmrkuseviide"/>
        </w:rPr>
        <w:footnoteReference w:id="1"/>
      </w:r>
    </w:p>
    <w:p w:rsidR="00322555" w:rsidRDefault="00322555"/>
    <w:p w:rsidR="00322555" w:rsidRDefault="00202230">
      <w:pPr>
        <w:pStyle w:val="Pealkiri2"/>
        <w:rPr>
          <w:i w:val="0"/>
          <w:sz w:val="20"/>
        </w:rPr>
      </w:pPr>
      <w:r>
        <w:rPr>
          <w:b w:val="0"/>
          <w:i w:val="0"/>
          <w:sz w:val="20"/>
        </w:rPr>
        <w:t>5.1.</w:t>
      </w:r>
      <w:r>
        <w:rPr>
          <w:b w:val="0"/>
          <w:i w:val="0"/>
          <w:sz w:val="20"/>
        </w:rPr>
        <w:tab/>
      </w:r>
      <w:r>
        <w:rPr>
          <w:i w:val="0"/>
          <w:sz w:val="20"/>
        </w:rPr>
        <w:t>Kasutusjuhendid</w:t>
      </w:r>
    </w:p>
    <w:p w:rsidR="00322555" w:rsidRDefault="00322555">
      <w:pPr>
        <w:spacing w:after="269"/>
      </w:pPr>
    </w:p>
    <w:p w:rsidR="00322555" w:rsidRDefault="00202230">
      <w:pPr>
        <w:spacing w:after="269"/>
      </w:pPr>
      <w:r>
        <w:rPr>
          <w:color w:val="000000"/>
        </w:rPr>
        <w:t xml:space="preserve">Biotsiid on kasutusvalmis pulber, mida müüakse erinevates pakendites, olenevalt toote lõppkasutajatest. </w:t>
      </w:r>
    </w:p>
    <w:p w:rsidR="00322555" w:rsidRDefault="00202230">
      <w:pPr>
        <w:spacing w:after="269"/>
      </w:pPr>
      <w:r>
        <w:rPr>
          <w:color w:val="000000"/>
        </w:rPr>
        <w:t xml:space="preserve">Toode on kontakttoimega putukamürk ja seda kasutatakse </w:t>
      </w:r>
      <w:r>
        <w:rPr>
          <w:color w:val="000000"/>
        </w:rPr>
        <w:t>roomavate putukate, sealhulgas sipelgate (</w:t>
      </w:r>
      <w:r>
        <w:rPr>
          <w:i/>
          <w:color w:val="000000"/>
        </w:rPr>
        <w:t>Lasius niger</w:t>
      </w:r>
      <w:r>
        <w:rPr>
          <w:color w:val="000000"/>
        </w:rPr>
        <w:t>) ja prussakate (</w:t>
      </w:r>
      <w:r>
        <w:rPr>
          <w:i/>
          <w:color w:val="000000"/>
        </w:rPr>
        <w:t>Blattella germanica</w:t>
      </w:r>
      <w:r>
        <w:rPr>
          <w:color w:val="000000"/>
        </w:rPr>
        <w:t xml:space="preserve">, </w:t>
      </w:r>
      <w:r>
        <w:rPr>
          <w:i/>
          <w:color w:val="000000"/>
        </w:rPr>
        <w:t>Blatta orientalis</w:t>
      </w:r>
      <w:r>
        <w:rPr>
          <w:color w:val="000000"/>
        </w:rPr>
        <w:t xml:space="preserve">) tõrjeks. </w:t>
      </w:r>
    </w:p>
    <w:p w:rsidR="00322555" w:rsidRDefault="00202230">
      <w:pPr>
        <w:spacing w:after="269"/>
      </w:pPr>
      <w:r>
        <w:rPr>
          <w:color w:val="000000"/>
        </w:rPr>
        <w:t xml:space="preserve">Toodet tuleb kasutada ainult koht-, pragude ja lõhede töötlemiseks kohtades, kus putukad roomavad või kust nad võivad majja, hoiuruumi </w:t>
      </w:r>
      <w:r>
        <w:rPr>
          <w:color w:val="000000"/>
        </w:rPr>
        <w:t>või hoonesse siseneda, annus on 1 g toodet 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kohta. </w:t>
      </w:r>
    </w:p>
    <w:p w:rsidR="00322555" w:rsidRDefault="00202230">
      <w:pPr>
        <w:spacing w:after="269"/>
      </w:pPr>
      <w:r>
        <w:rPr>
          <w:color w:val="000000"/>
        </w:rPr>
        <w:t>Toodet tohib kasutada puidul, betoonil ja siledatel pindadel (klaas, keraamika jne) ning seda tohib kasutada ainult lastele ja loomadele raskesti ligipääsetavates kohtades (näiteks kappide all, vahel ja</w:t>
      </w:r>
      <w:r>
        <w:rPr>
          <w:color w:val="000000"/>
        </w:rPr>
        <w:t xml:space="preserve"> taga ning ruumi äärtes olevates pragudes ja lõhedes). </w:t>
      </w:r>
    </w:p>
    <w:p w:rsidR="00322555" w:rsidRDefault="00202230">
      <w:pPr>
        <w:spacing w:after="269"/>
      </w:pPr>
      <w:r>
        <w:rPr>
          <w:color w:val="000000"/>
        </w:rPr>
        <w:t xml:space="preserve">Toote pragudesse ja lõhedesse kandmiseks kasutada harja. </w:t>
      </w:r>
    </w:p>
    <w:p w:rsidR="00322555" w:rsidRDefault="00202230">
      <w:pPr>
        <w:spacing w:after="269"/>
      </w:pPr>
      <w:r>
        <w:rPr>
          <w:color w:val="000000"/>
        </w:rPr>
        <w:t xml:space="preserve">Sellel tootel on pikaajaline toime ja ilma puhastamiseta võib see mõjuda kuni 3 nädalat. </w:t>
      </w:r>
    </w:p>
    <w:p w:rsidR="00322555" w:rsidRDefault="00202230">
      <w:pPr>
        <w:spacing w:after="269"/>
      </w:pPr>
      <w:r>
        <w:rPr>
          <w:color w:val="000000"/>
        </w:rPr>
        <w:t>Järelejäänud toodet või töödeldud pindade kõrvale pu</w:t>
      </w:r>
      <w:r>
        <w:rPr>
          <w:color w:val="000000"/>
        </w:rPr>
        <w:t>denenud toodet ei tohi äravoolu uhta. Ainult kuivpuhastada tolmuimejaga (eelistatavalt) või pühkida järelejäänud pulber väga ettevaatlikult kokku ja visata kuivjäätmete hulka.</w:t>
      </w:r>
    </w:p>
    <w:p w:rsidR="00322555" w:rsidRDefault="00202230">
      <w:pPr>
        <w:spacing w:after="269"/>
      </w:pPr>
      <w:r>
        <w:rPr>
          <w:color w:val="000000"/>
        </w:rPr>
        <w:t>Õige doseerimise tagamiseks tuleks võtta mõõtelusika/spaatliga veerandi teelusik</w:t>
      </w:r>
      <w:r>
        <w:rPr>
          <w:color w:val="000000"/>
        </w:rPr>
        <w:t>a jagu toodet, et kanda pindadele 1 g, mis on piisav 1 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töötlemiseks. Sellise mõõtelusika puudumisel tuleks kasutada tavalist teelusikat. Kui toodet mõõdetakse loksutipudelist või pappnõust, tuleb pulbrit lisada teelusikale loksutit/anumat kergelt koputa</w:t>
      </w:r>
      <w:r>
        <w:rPr>
          <w:color w:val="000000"/>
        </w:rPr>
        <w:t xml:space="preserve">des. </w:t>
      </w:r>
    </w:p>
    <w:p w:rsidR="00322555" w:rsidRDefault="00202230">
      <w:pPr>
        <w:spacing w:after="269"/>
      </w:pPr>
      <w:r>
        <w:rPr>
          <w:color w:val="000000"/>
        </w:rPr>
        <w:t>Toodet ei tohi ühes kohas kasutada rohkem kui üks kord kuus.</w:t>
      </w:r>
    </w:p>
    <w:p w:rsidR="00322555" w:rsidRDefault="00202230">
      <w:pPr>
        <w:spacing w:after="269"/>
      </w:pPr>
      <w:r>
        <w:rPr>
          <w:color w:val="000000"/>
        </w:rPr>
        <w:t>Mitte segada teiste toodetega.</w:t>
      </w:r>
    </w:p>
    <w:p w:rsidR="00322555" w:rsidRDefault="00322555">
      <w:pPr>
        <w:spacing w:after="269"/>
      </w:pPr>
    </w:p>
    <w:p w:rsidR="00322555" w:rsidRDefault="00202230">
      <w:pPr>
        <w:spacing w:after="269"/>
      </w:pPr>
      <w:r>
        <w:rPr>
          <w:color w:val="000000"/>
        </w:rPr>
        <w:t>Mitte loputada kasutatud töövahendeid veega. Korduskasutage või hävitage ohutult.</w:t>
      </w:r>
    </w:p>
    <w:p w:rsidR="00322555" w:rsidRDefault="00202230">
      <w:pPr>
        <w:pStyle w:val="Pealkiri2"/>
        <w:rPr>
          <w:i w:val="0"/>
          <w:sz w:val="20"/>
        </w:rPr>
      </w:pPr>
      <w:r>
        <w:rPr>
          <w:b w:val="0"/>
          <w:i w:val="0"/>
          <w:sz w:val="20"/>
        </w:rPr>
        <w:t>5.2.</w:t>
      </w:r>
      <w:r>
        <w:rPr>
          <w:b w:val="0"/>
          <w:i w:val="0"/>
          <w:sz w:val="20"/>
        </w:rPr>
        <w:tab/>
      </w:r>
      <w:r>
        <w:rPr>
          <w:i w:val="0"/>
          <w:sz w:val="20"/>
        </w:rPr>
        <w:t>Riskivähendamismeetmed</w:t>
      </w:r>
    </w:p>
    <w:p w:rsidR="00322555" w:rsidRDefault="00322555">
      <w:pPr>
        <w:spacing w:after="269"/>
      </w:pPr>
    </w:p>
    <w:p w:rsidR="00322555" w:rsidRDefault="00322555">
      <w:pPr>
        <w:spacing w:after="269"/>
      </w:pPr>
    </w:p>
    <w:p w:rsidR="00322555" w:rsidRDefault="00202230">
      <w:pPr>
        <w:spacing w:after="269"/>
      </w:pPr>
      <w:r>
        <w:rPr>
          <w:color w:val="000000"/>
        </w:rPr>
        <w:t>Toodet tohib kasutada ainult kohtades, kus la</w:t>
      </w:r>
      <w:r>
        <w:rPr>
          <w:color w:val="000000"/>
        </w:rPr>
        <w:t>psed ja lemmikloomad sellega kokku ei puutu.</w:t>
      </w:r>
    </w:p>
    <w:p w:rsidR="00322555" w:rsidRDefault="00202230">
      <w:pPr>
        <w:spacing w:after="269"/>
      </w:pPr>
      <w:r>
        <w:rPr>
          <w:color w:val="000000"/>
        </w:rPr>
        <w:t>Sisaldab permetriini (püretroidid), võib olla kassidele surmav. Kassid ei tohi töödeldud aladele ligi pääseda.</w:t>
      </w:r>
    </w:p>
    <w:p w:rsidR="00322555" w:rsidRDefault="00202230">
      <w:pPr>
        <w:spacing w:after="269"/>
      </w:pPr>
      <w:r>
        <w:rPr>
          <w:color w:val="000000"/>
        </w:rPr>
        <w:t>Mitte kanda otse toiduainetele, söödale või joogile ega nende lähedale või pindadele ja kööginõudele</w:t>
      </w:r>
      <w:r>
        <w:rPr>
          <w:color w:val="000000"/>
        </w:rPr>
        <w:t>, mis võivad puutuda kokku toiduainete, sööda, joogi ja loomadega.</w:t>
      </w:r>
    </w:p>
    <w:p w:rsidR="00322555" w:rsidRDefault="00202230">
      <w:pPr>
        <w:spacing w:after="269"/>
      </w:pPr>
      <w:r>
        <w:rPr>
          <w:color w:val="000000"/>
        </w:rPr>
        <w:t>Mitte hoida toiduainete, joogi ega loomasööda läheduses.</w:t>
      </w:r>
    </w:p>
    <w:p w:rsidR="00322555" w:rsidRDefault="00202230">
      <w:pPr>
        <w:spacing w:after="269"/>
      </w:pPr>
      <w:r>
        <w:rPr>
          <w:color w:val="000000"/>
        </w:rPr>
        <w:t>Kaitsmata isikud ja loomad tuleb toote pealekandmise ajal eemal hoida.</w:t>
      </w:r>
    </w:p>
    <w:p w:rsidR="00322555" w:rsidRDefault="00322555">
      <w:pPr>
        <w:spacing w:after="269"/>
      </w:pPr>
    </w:p>
    <w:p w:rsidR="00322555" w:rsidRDefault="00202230">
      <w:pPr>
        <w:spacing w:after="269"/>
      </w:pPr>
      <w:r>
        <w:br/>
      </w:r>
    </w:p>
    <w:p w:rsidR="00322555" w:rsidRDefault="00322555">
      <w:pPr>
        <w:spacing w:after="269"/>
      </w:pPr>
    </w:p>
    <w:p w:rsidR="00322555" w:rsidRDefault="00202230">
      <w:pPr>
        <w:pStyle w:val="Pealkiri2"/>
        <w:rPr>
          <w:i w:val="0"/>
          <w:sz w:val="20"/>
        </w:rPr>
      </w:pPr>
      <w:r>
        <w:rPr>
          <w:b w:val="0"/>
          <w:i w:val="0"/>
          <w:sz w:val="20"/>
        </w:rPr>
        <w:t>5.3.</w:t>
      </w:r>
      <w:r>
        <w:rPr>
          <w:b w:val="0"/>
          <w:i w:val="0"/>
          <w:sz w:val="20"/>
        </w:rPr>
        <w:tab/>
      </w:r>
      <w:r>
        <w:rPr>
          <w:i w:val="0"/>
          <w:sz w:val="20"/>
        </w:rPr>
        <w:t>Tõenäoline otsene või kaudne kahjulik toime, esmaabimeetmed ja keskkonnakaitsemeetmed hädaolukorras</w:t>
      </w:r>
    </w:p>
    <w:p w:rsidR="00322555" w:rsidRDefault="00322555">
      <w:pPr>
        <w:spacing w:after="269"/>
      </w:pPr>
    </w:p>
    <w:p w:rsidR="00322555" w:rsidRDefault="00202230">
      <w:pPr>
        <w:spacing w:after="269"/>
      </w:pPr>
      <w:r>
        <w:rPr>
          <w:color w:val="000000"/>
        </w:rPr>
        <w:t>Püretroidid võivad põhjustada paresteesiat (naha põletus- ja torkimistunnet ilma ärritajata). Kui sümptomid püsivad, pöörduda arsti poole.</w:t>
      </w:r>
    </w:p>
    <w:p w:rsidR="00322555" w:rsidRDefault="00202230">
      <w:pPr>
        <w:spacing w:after="269"/>
      </w:pPr>
      <w:r>
        <w:rPr>
          <w:color w:val="000000"/>
        </w:rPr>
        <w:t>Esmaabijuhised</w:t>
      </w:r>
    </w:p>
    <w:p w:rsidR="00322555" w:rsidRDefault="00202230">
      <w:pPr>
        <w:spacing w:after="269"/>
      </w:pPr>
      <w:r>
        <w:rPr>
          <w:color w:val="000000"/>
        </w:rPr>
        <w:t xml:space="preserve">Kokkupuude nahaga. Saastunud riided tuleb kohe eemaldada. Pesta hoolikalt rohke vee ja seebiga. Halva enesetunde korral pöörduda arsti poole. </w:t>
      </w:r>
    </w:p>
    <w:p w:rsidR="00322555" w:rsidRDefault="00202230">
      <w:pPr>
        <w:spacing w:after="269"/>
      </w:pPr>
      <w:r>
        <w:rPr>
          <w:color w:val="000000"/>
        </w:rPr>
        <w:t>Silma sattumine. Loputada silmi kohe vähemalt 15 minutit voolava veega, hoides silmalaud lahti. Kontaktläätsede o</w:t>
      </w:r>
      <w:r>
        <w:rPr>
          <w:color w:val="000000"/>
        </w:rPr>
        <w:t xml:space="preserve">lemasolu korral eemaldada need. Kui ärritus püsib, pöörduda arsti poole </w:t>
      </w:r>
    </w:p>
    <w:p w:rsidR="00322555" w:rsidRDefault="00202230">
      <w:pPr>
        <w:spacing w:after="269"/>
      </w:pPr>
      <w:r>
        <w:rPr>
          <w:color w:val="000000"/>
        </w:rPr>
        <w:t>Sissehingamine. Viia kannatanu värske õhu kätte ja ohtlikust piirkonnast välja. Sümptomite püsimisel pöörduda arsti poole.</w:t>
      </w:r>
    </w:p>
    <w:p w:rsidR="00322555" w:rsidRDefault="00202230">
      <w:pPr>
        <w:spacing w:after="269"/>
      </w:pPr>
      <w:r>
        <w:rPr>
          <w:color w:val="000000"/>
        </w:rPr>
        <w:t>Allaneelamine. Mitte kutsuda esile oksendamist, pöörduda kõi</w:t>
      </w:r>
      <w:r>
        <w:rPr>
          <w:color w:val="000000"/>
        </w:rPr>
        <w:t>gepealt arsti poole. Loputada suud veega. Pöörduda viivitamata spetsialisti poole. Näidata arstile ohutuskaarti või etiketti.</w:t>
      </w:r>
    </w:p>
    <w:p w:rsidR="00322555" w:rsidRDefault="00202230">
      <w:pPr>
        <w:spacing w:after="269"/>
      </w:pPr>
      <w:r>
        <w:rPr>
          <w:color w:val="000000"/>
        </w:rPr>
        <w:t>Erakorralised meetmed keskkonna kaitsmiseks. Mitte lasta tootel jõuda vette/äravooluavasse/kanalisatsiooni ega läbilaskvasse pinna</w:t>
      </w:r>
      <w:r>
        <w:rPr>
          <w:color w:val="000000"/>
        </w:rPr>
        <w:t>sesse. Juhusliku vette või pinnasesse sattumise korral teavitada vastutavaid ametiasutusi. Juhusliku mahavalgumise korral koguda see mehaaniliselt sobivasse anumasse ning hävitada vastavalt kehtivatele eeskirjadele. Puhastada saastunud ala vee ja pesuvahen</w:t>
      </w:r>
      <w:r>
        <w:rPr>
          <w:color w:val="000000"/>
        </w:rPr>
        <w:t>diga.</w:t>
      </w:r>
    </w:p>
    <w:p w:rsidR="00322555" w:rsidRDefault="00322555">
      <w:pPr>
        <w:spacing w:after="269"/>
      </w:pPr>
    </w:p>
    <w:p w:rsidR="00322555" w:rsidRDefault="00202230">
      <w:pPr>
        <w:pStyle w:val="Pealkiri2"/>
        <w:rPr>
          <w:i w:val="0"/>
          <w:sz w:val="20"/>
        </w:rPr>
      </w:pPr>
      <w:r>
        <w:rPr>
          <w:b w:val="0"/>
          <w:i w:val="0"/>
          <w:sz w:val="20"/>
        </w:rPr>
        <w:lastRenderedPageBreak/>
        <w:t>5.4.</w:t>
      </w:r>
      <w:r>
        <w:rPr>
          <w:b w:val="0"/>
          <w:i w:val="0"/>
          <w:sz w:val="20"/>
        </w:rPr>
        <w:tab/>
      </w:r>
      <w:r>
        <w:rPr>
          <w:i w:val="0"/>
          <w:sz w:val="20"/>
        </w:rPr>
        <w:t>Juhised toote ja selle pakendi ohutuks hävitamiseks</w:t>
      </w:r>
    </w:p>
    <w:p w:rsidR="00322555" w:rsidRDefault="00322555">
      <w:pPr>
        <w:spacing w:after="269"/>
      </w:pPr>
    </w:p>
    <w:p w:rsidR="00322555" w:rsidRDefault="00322555">
      <w:pPr>
        <w:spacing w:after="269"/>
      </w:pPr>
    </w:p>
    <w:p w:rsidR="00322555" w:rsidRDefault="00202230">
      <w:pPr>
        <w:spacing w:after="269"/>
      </w:pPr>
      <w:r>
        <w:rPr>
          <w:color w:val="000000"/>
        </w:rPr>
        <w:t xml:space="preserve">Kemikaali jäätmete kõrvaldamine peab toimuma vastavalt ametlikele eeskirjadele. Jäätmed anda volitatud ohtlike jäätmete kogujale/eemaldajale/ümbertöötlejale. </w:t>
      </w:r>
    </w:p>
    <w:p w:rsidR="00322555" w:rsidRDefault="00202230">
      <w:pPr>
        <w:spacing w:after="269"/>
      </w:pPr>
      <w:r>
        <w:rPr>
          <w:color w:val="000000"/>
        </w:rPr>
        <w:t>Toode ei tohi jõuda äravooluava</w:t>
      </w:r>
      <w:r>
        <w:rPr>
          <w:color w:val="000000"/>
        </w:rPr>
        <w:t>sse/kanalisatsiooni.</w:t>
      </w:r>
    </w:p>
    <w:p w:rsidR="00322555" w:rsidRDefault="00202230">
      <w:pPr>
        <w:spacing w:after="269"/>
      </w:pPr>
      <w:r>
        <w:rPr>
          <w:color w:val="000000"/>
        </w:rPr>
        <w:t xml:space="preserve">Täielikult tühjendatud mahuti tuleb hävitada vastavalt eeskirjadele. </w:t>
      </w:r>
    </w:p>
    <w:p w:rsidR="00322555" w:rsidRDefault="00202230">
      <w:pPr>
        <w:spacing w:after="269"/>
      </w:pPr>
      <w:r>
        <w:rPr>
          <w:color w:val="000000"/>
        </w:rPr>
        <w:t xml:space="preserve">Puhastamata mahutid klassifitseeritakse ohtlikeks jäätmeteks ja neid tuleks käidelda samamoodi nagu kemikaali jäätmeid. </w:t>
      </w:r>
    </w:p>
    <w:p w:rsidR="00322555" w:rsidRDefault="00202230">
      <w:pPr>
        <w:spacing w:after="269"/>
      </w:pPr>
      <w:r>
        <w:br/>
      </w:r>
    </w:p>
    <w:p w:rsidR="00322555" w:rsidRDefault="00322555">
      <w:pPr>
        <w:spacing w:after="269"/>
      </w:pPr>
    </w:p>
    <w:p w:rsidR="00322555" w:rsidRDefault="00202230">
      <w:pPr>
        <w:pStyle w:val="Pealkiri2"/>
        <w:rPr>
          <w:i w:val="0"/>
          <w:sz w:val="20"/>
        </w:rPr>
      </w:pPr>
      <w:r>
        <w:rPr>
          <w:b w:val="0"/>
          <w:i w:val="0"/>
          <w:sz w:val="20"/>
        </w:rPr>
        <w:t>5.5.</w:t>
      </w:r>
      <w:r>
        <w:rPr>
          <w:b w:val="0"/>
          <w:i w:val="0"/>
          <w:sz w:val="20"/>
        </w:rPr>
        <w:tab/>
      </w:r>
      <w:r>
        <w:rPr>
          <w:i w:val="0"/>
          <w:sz w:val="20"/>
        </w:rPr>
        <w:t>Toote ladustamistingimused ja säiliv</w:t>
      </w:r>
      <w:r>
        <w:rPr>
          <w:i w:val="0"/>
          <w:sz w:val="20"/>
        </w:rPr>
        <w:t>usaeg normaalsetes ladustamistingimustes</w:t>
      </w:r>
    </w:p>
    <w:p w:rsidR="00322555" w:rsidRDefault="00322555">
      <w:pPr>
        <w:spacing w:after="269"/>
      </w:pPr>
    </w:p>
    <w:p w:rsidR="00322555" w:rsidRDefault="00322555">
      <w:pPr>
        <w:spacing w:after="269"/>
      </w:pPr>
    </w:p>
    <w:p w:rsidR="00322555" w:rsidRDefault="00202230">
      <w:pPr>
        <w:spacing w:after="269"/>
      </w:pPr>
      <w:r>
        <w:rPr>
          <w:color w:val="000000"/>
        </w:rPr>
        <w:t>Toodet tuleb hoida kuivas kohas ja kaitsta otsese päikesevalguse eest. </w:t>
      </w:r>
    </w:p>
    <w:p w:rsidR="00322555" w:rsidRDefault="00202230">
      <w:pPr>
        <w:spacing w:after="269"/>
      </w:pPr>
      <w:r>
        <w:rPr>
          <w:color w:val="000000"/>
        </w:rPr>
        <w:t>Toote kõlblikkusaeg on 2 aastat.</w:t>
      </w:r>
    </w:p>
    <w:p w:rsidR="00322555" w:rsidRDefault="00202230">
      <w:pPr>
        <w:spacing w:after="269"/>
      </w:pPr>
      <w:r>
        <w:br/>
      </w:r>
    </w:p>
    <w:p w:rsidR="00322555" w:rsidRDefault="00322555">
      <w:pPr>
        <w:spacing w:after="269"/>
      </w:pPr>
    </w:p>
    <w:p w:rsidR="00322555" w:rsidRDefault="00322555"/>
    <w:p w:rsidR="00322555" w:rsidRDefault="00202230">
      <w:pPr>
        <w:pStyle w:val="Pealkiri1"/>
      </w:pPr>
      <w:r>
        <w:rPr>
          <w:b w:val="0"/>
        </w:rPr>
        <w:t>6.</w:t>
      </w:r>
      <w:r>
        <w:rPr>
          <w:b w:val="0"/>
        </w:rPr>
        <w:tab/>
      </w:r>
      <w:r>
        <w:rPr>
          <w:caps/>
        </w:rPr>
        <w:t>Muu teave</w:t>
      </w:r>
    </w:p>
    <w:p w:rsidR="00322555" w:rsidRDefault="00322555">
      <w:pPr>
        <w:spacing w:after="269"/>
      </w:pPr>
    </w:p>
    <w:p w:rsidR="00322555" w:rsidRDefault="00202230">
      <w:pPr>
        <w:spacing w:after="269"/>
      </w:pPr>
      <w:r>
        <w:rPr>
          <w:color w:val="000000"/>
          <w:u w:val="single"/>
        </w:rPr>
        <w:t>Resistentsusevastased meetmed</w:t>
      </w:r>
    </w:p>
    <w:p w:rsidR="00322555" w:rsidRDefault="00202230">
      <w:pPr>
        <w:spacing w:after="269"/>
      </w:pPr>
      <w:r>
        <w:rPr>
          <w:color w:val="000000"/>
        </w:rPr>
        <w:t xml:space="preserve">1. Kui on vaja pikemat tõrjeperioodi, tuleks tõrjemeetodeid </w:t>
      </w:r>
      <w:r>
        <w:rPr>
          <w:color w:val="000000"/>
        </w:rPr>
        <w:t>erinevate toimeviisidega toodetega vaheldada.</w:t>
      </w:r>
    </w:p>
    <w:p w:rsidR="00322555" w:rsidRDefault="00202230">
      <w:pPr>
        <w:spacing w:after="269"/>
      </w:pPr>
      <w:r>
        <w:rPr>
          <w:color w:val="000000"/>
        </w:rPr>
        <w:t>2. Tuleb jälgida efektiivsuse tasemeid ja uurida vähenenud efektiivsuse juhtumeid võimaliku resistentsuse tõendite leidmiseks. Sellisel juhul tuleks resistentsuse ületamiseks kasutada teist tõrjet.</w:t>
      </w:r>
    </w:p>
    <w:p w:rsidR="00322555" w:rsidRDefault="00202230">
      <w:pPr>
        <w:spacing w:after="269"/>
      </w:pPr>
      <w:r>
        <w:rPr>
          <w:color w:val="000000"/>
        </w:rPr>
        <w:t>3. Tooteid t</w:t>
      </w:r>
      <w:r>
        <w:rPr>
          <w:color w:val="000000"/>
        </w:rPr>
        <w:t>uleks alati kasutada vastavalt etiketi soovitustele.</w:t>
      </w:r>
    </w:p>
    <w:p w:rsidR="00322555" w:rsidRDefault="00202230">
      <w:pPr>
        <w:spacing w:after="269"/>
      </w:pPr>
      <w:r>
        <w:rPr>
          <w:color w:val="000000"/>
        </w:rPr>
        <w:t>4. Saastunud aladel tuleks proovida kahjurputukad täielikult kõrvaldada</w:t>
      </w:r>
    </w:p>
    <w:p w:rsidR="00322555" w:rsidRDefault="00202230">
      <w:pPr>
        <w:spacing w:after="269"/>
      </w:pPr>
      <w:r>
        <w:rPr>
          <w:color w:val="000000"/>
        </w:rPr>
        <w:t>5. Tuleb järgida hügieenimeetmeid (nt toiduallikate eemaldamine), et vähendada koju/hoonesse meelitatavate putukate arvu ning aidat</w:t>
      </w:r>
      <w:r>
        <w:rPr>
          <w:color w:val="000000"/>
        </w:rPr>
        <w:t>a seeläbi saastumise ja resistentsuse riski vähendada.</w:t>
      </w:r>
    </w:p>
    <w:p w:rsidR="00322555" w:rsidRDefault="00202230">
      <w:pPr>
        <w:spacing w:after="269"/>
      </w:pPr>
      <w:r>
        <w:rPr>
          <w:color w:val="000000"/>
        </w:rPr>
        <w:t xml:space="preserve">6. Putukatõrje ajal ei tohi töödeldud ala (kuivalt ega märjalt) puhastada. Kuid kuna see toode paigutatakse </w:t>
      </w:r>
      <w:r>
        <w:rPr>
          <w:color w:val="000000"/>
        </w:rPr>
        <w:lastRenderedPageBreak/>
        <w:t>raskesti puhastatavatesse aladesse (nt kappide alla ja taha ning ruumi äärtes olevatesse prag</w:t>
      </w:r>
      <w:r>
        <w:rPr>
          <w:color w:val="000000"/>
        </w:rPr>
        <w:t>udesse ja lõhedesse), ei takista see eeldatavasti suurema osa põrandapinna puhastamist.</w:t>
      </w:r>
    </w:p>
    <w:p w:rsidR="00322555" w:rsidRDefault="00322555">
      <w:pPr>
        <w:spacing w:after="269"/>
      </w:pPr>
    </w:p>
    <w:p w:rsidR="00322555" w:rsidRDefault="00202230">
      <w:pPr>
        <w:spacing w:after="269"/>
      </w:pPr>
      <w:r>
        <w:br/>
      </w:r>
    </w:p>
    <w:p w:rsidR="00322555" w:rsidRDefault="00322555">
      <w:pPr>
        <w:spacing w:after="269"/>
      </w:pPr>
    </w:p>
    <w:p w:rsidR="00322555" w:rsidRDefault="00202230">
      <w:pPr>
        <w:spacing w:after="269"/>
      </w:pPr>
      <w:r>
        <w:rPr>
          <w:color w:val="000000"/>
        </w:rPr>
        <w:t>P-lause õige sõnastus on:</w:t>
      </w:r>
    </w:p>
    <w:p w:rsidR="00322555" w:rsidRDefault="00322555">
      <w:pPr>
        <w:spacing w:after="269"/>
      </w:pPr>
    </w:p>
    <w:p w:rsidR="00322555" w:rsidRDefault="00202230">
      <w:pPr>
        <w:spacing w:after="269"/>
      </w:pPr>
      <w:r>
        <w:rPr>
          <w:color w:val="000000"/>
        </w:rPr>
        <w:t>P501  Sisu/mahuti kõrvaldada vastavalt riiklikele eeskirjadele.</w:t>
      </w:r>
    </w:p>
    <w:p w:rsidR="00322555" w:rsidRDefault="00202230">
      <w:pPr>
        <w:spacing w:after="269"/>
      </w:pPr>
      <w:r>
        <w:br/>
      </w:r>
      <w:r>
        <w:rPr>
          <w:color w:val="000000"/>
        </w:rPr>
        <w:t>Eesti Mürgistusteabekeskuse number: 16662</w:t>
      </w:r>
    </w:p>
    <w:p w:rsidR="00322555" w:rsidRDefault="00202230">
      <w:pPr>
        <w:spacing w:after="269"/>
      </w:pPr>
      <w:r>
        <w:br/>
      </w:r>
      <w:r>
        <w:br/>
      </w:r>
    </w:p>
    <w:sectPr w:rsidR="00322555">
      <w:footerReference w:type="default" r:id="rId6"/>
      <w:type w:val="continuous"/>
      <w:pgSz w:w="11906" w:h="16838" w:code="9"/>
      <w:pgMar w:top="1440" w:right="1440" w:bottom="170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02230">
      <w:r>
        <w:separator/>
      </w:r>
    </w:p>
  </w:endnote>
  <w:endnote w:type="continuationSeparator" w:id="0">
    <w:p w:rsidR="00000000" w:rsidRDefault="0020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555" w:rsidRDefault="00202230">
    <w:pPr>
      <w:jc w:val="right"/>
    </w:pPr>
    <w:r>
      <w:fldChar w:fldCharType="begin"/>
    </w:r>
    <w:r>
      <w:instrText xml:space="preserve"> PAGE   \* MERGEFORMAT </w:instrText>
    </w:r>
    <w:r w:rsidR="00707A71">
      <w:fldChar w:fldCharType="separate"/>
    </w:r>
    <w:r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555" w:rsidRDefault="00202230">
      <w:r>
        <w:separator/>
      </w:r>
    </w:p>
  </w:footnote>
  <w:footnote w:type="continuationSeparator" w:id="0">
    <w:p w:rsidR="00322555" w:rsidRDefault="00202230">
      <w:r>
        <w:continuationSeparator/>
      </w:r>
    </w:p>
  </w:footnote>
  <w:footnote w:id="1">
    <w:p w:rsidR="00322555" w:rsidRDefault="00202230">
      <w:pPr>
        <w:pStyle w:val="Allmrkusetekst"/>
        <w:rPr>
          <w:sz w:val="16"/>
        </w:rPr>
      </w:pPr>
      <w:r>
        <w:rPr>
          <w:rStyle w:val="Allmrkuseviide"/>
          <w:sz w:val="16"/>
        </w:rPr>
        <w:footnoteRef/>
      </w:r>
      <w:r>
        <w:rPr>
          <w:sz w:val="16"/>
        </w:rPr>
        <w:t xml:space="preserve"> Käesolevas jaotises esitatud kasutusjuhised, riskivähendusmeetmed ja muud kasutamisjuhised kehtivad iga lubatud kasutuse puhul.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55"/>
    <w:rsid w:val="00202230"/>
    <w:rsid w:val="00322555"/>
    <w:rsid w:val="00707A71"/>
    <w:rsid w:val="009049DA"/>
    <w:rsid w:val="00A4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F8D3"/>
  <w15:docId w15:val="{09F9EA2E-4DC5-41E9-82EE-74687BF2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qFormat="1"/>
    <w:lsdException w:name="toc 2" w:semiHidden="1" w:uiPriority="39" w:qFormat="1"/>
    <w:lsdException w:name="toc 3" w:semiHidden="1" w:uiPriority="1" w:qFormat="1"/>
    <w:lsdException w:name="toc 4" w:semiHidden="1" w:uiPriority="1" w:qFormat="1"/>
    <w:lsdException w:name="toc 5" w:semiHidden="1" w:uiPriority="1" w:qFormat="1"/>
    <w:lsdException w:name="toc 6" w:semiHidden="1" w:uiPriority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uiPriority w:val="1"/>
    <w:qFormat/>
    <w:rsid w:val="008A31D0"/>
    <w:pPr>
      <w:widowControl w:val="0"/>
      <w:autoSpaceDE w:val="0"/>
      <w:autoSpaceDN w:val="0"/>
      <w:adjustRightInd w:val="0"/>
    </w:pPr>
    <w:rPr>
      <w:rFonts w:ascii="Times New Roman" w:hAnsi="Times New Roman"/>
      <w:bCs/>
      <w:szCs w:val="29"/>
      <w:lang w:val="de-DE" w:eastAsia="de-D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D5DC6"/>
    <w:pPr>
      <w:keepNext/>
      <w:spacing w:before="240" w:after="60"/>
      <w:outlineLvl w:val="0"/>
    </w:pPr>
    <w:rPr>
      <w:b/>
      <w:kern w:val="32"/>
      <w:sz w:val="24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3D5DC6"/>
    <w:pPr>
      <w:keepNext/>
      <w:spacing w:before="240" w:after="60"/>
      <w:outlineLvl w:val="1"/>
    </w:pPr>
    <w:rPr>
      <w:b/>
      <w:i/>
      <w:iCs/>
      <w:sz w:val="22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locked/>
    <w:rsid w:val="003D5DC6"/>
    <w:rPr>
      <w:rFonts w:ascii="Verdana" w:eastAsia="Times New Roman" w:hAnsi="Verdana" w:cs="Times New Roman"/>
      <w:b/>
      <w:bCs/>
      <w:kern w:val="32"/>
      <w:sz w:val="32"/>
      <w:szCs w:val="32"/>
      <w:lang w:val="de-DE" w:eastAsia="de-DE"/>
    </w:rPr>
  </w:style>
  <w:style w:type="character" w:customStyle="1" w:styleId="Pealkiri2Mrk">
    <w:name w:val="Pealkiri 2 Märk"/>
    <w:link w:val="Pealkiri2"/>
    <w:uiPriority w:val="9"/>
    <w:locked/>
    <w:rsid w:val="003D5DC6"/>
    <w:rPr>
      <w:rFonts w:ascii="Verdana" w:eastAsia="Times New Roman" w:hAnsi="Verdana" w:cs="Times New Roman"/>
      <w:b/>
      <w:bCs/>
      <w:i/>
      <w:iCs/>
      <w:sz w:val="28"/>
      <w:szCs w:val="28"/>
      <w:lang w:val="de-DE" w:eastAsia="de-DE"/>
    </w:rPr>
  </w:style>
  <w:style w:type="paragraph" w:styleId="SK3">
    <w:name w:val="toc 3"/>
    <w:basedOn w:val="SK2"/>
    <w:next w:val="Normaallaad"/>
    <w:uiPriority w:val="1"/>
    <w:qFormat/>
    <w:pPr>
      <w:ind w:left="403"/>
    </w:pPr>
  </w:style>
  <w:style w:type="paragraph" w:styleId="SK4">
    <w:name w:val="toc 4"/>
    <w:basedOn w:val="SK3"/>
    <w:next w:val="Normaallaad"/>
    <w:uiPriority w:val="1"/>
    <w:qFormat/>
    <w:pPr>
      <w:ind w:left="601"/>
    </w:pPr>
  </w:style>
  <w:style w:type="character" w:customStyle="1" w:styleId="heading1Zchn">
    <w:name w:val="heading1 Zchn"/>
    <w:locked/>
    <w:rPr>
      <w:rFonts w:ascii="Times" w:hAnsi="Times"/>
      <w:b/>
      <w:color w:val="auto"/>
      <w:sz w:val="29"/>
    </w:rPr>
  </w:style>
  <w:style w:type="paragraph" w:customStyle="1" w:styleId="ReportHeading1">
    <w:name w:val="Report Heading 1"/>
    <w:basedOn w:val="Normaallaad"/>
    <w:next w:val="Normaallaad"/>
    <w:uiPriority w:val="1"/>
    <w:qFormat/>
    <w:pPr>
      <w:spacing w:before="200"/>
    </w:pPr>
    <w:rPr>
      <w:b/>
      <w:sz w:val="50"/>
    </w:rPr>
  </w:style>
  <w:style w:type="paragraph" w:styleId="SK1">
    <w:name w:val="toc 1"/>
    <w:basedOn w:val="Special"/>
    <w:next w:val="Normaallaad"/>
    <w:uiPriority w:val="39"/>
    <w:qFormat/>
    <w:rPr>
      <w:sz w:val="20"/>
    </w:rPr>
  </w:style>
  <w:style w:type="paragraph" w:customStyle="1" w:styleId="ReportHeading2">
    <w:name w:val="Report Heading 2"/>
    <w:basedOn w:val="ReportHeading1"/>
    <w:next w:val="Normaallaad"/>
    <w:uiPriority w:val="1"/>
    <w:qFormat/>
    <w:rPr>
      <w:sz w:val="35"/>
    </w:rPr>
  </w:style>
  <w:style w:type="paragraph" w:styleId="SK2">
    <w:name w:val="toc 2"/>
    <w:basedOn w:val="SK1"/>
    <w:next w:val="Normaallaad"/>
    <w:uiPriority w:val="39"/>
    <w:qFormat/>
    <w:pPr>
      <w:ind w:left="198"/>
    </w:pPr>
  </w:style>
  <w:style w:type="paragraph" w:customStyle="1" w:styleId="ReportHeading3">
    <w:name w:val="Report Heading 3"/>
    <w:basedOn w:val="ReportHeading2"/>
    <w:next w:val="Normaallaad"/>
    <w:uiPriority w:val="1"/>
    <w:qFormat/>
    <w:rPr>
      <w:sz w:val="29"/>
    </w:rPr>
  </w:style>
  <w:style w:type="paragraph" w:customStyle="1" w:styleId="ReportHeading4">
    <w:name w:val="Report Heading 4"/>
    <w:basedOn w:val="ReportHeading3"/>
    <w:next w:val="Normaallaad"/>
    <w:uiPriority w:val="1"/>
    <w:qFormat/>
    <w:rPr>
      <w:sz w:val="24"/>
    </w:rPr>
  </w:style>
  <w:style w:type="paragraph" w:customStyle="1" w:styleId="ReportHeading5">
    <w:name w:val="Report Heading 5"/>
    <w:basedOn w:val="ReportHeading4"/>
    <w:next w:val="Normaallaad"/>
    <w:uiPriority w:val="1"/>
    <w:qFormat/>
    <w:rPr>
      <w:sz w:val="20"/>
    </w:rPr>
  </w:style>
  <w:style w:type="paragraph" w:customStyle="1" w:styleId="ReportHeading6">
    <w:name w:val="Report Heading 6"/>
    <w:basedOn w:val="ReportHeading5"/>
    <w:next w:val="Normaallaad"/>
    <w:uiPriority w:val="1"/>
    <w:qFormat/>
  </w:style>
  <w:style w:type="paragraph" w:customStyle="1" w:styleId="TableHeading">
    <w:name w:val="Table Heading"/>
    <w:basedOn w:val="ReportHeading6"/>
    <w:next w:val="Normaallaad"/>
    <w:uiPriority w:val="1"/>
    <w:qFormat/>
  </w:style>
  <w:style w:type="paragraph" w:customStyle="1" w:styleId="Special">
    <w:name w:val="Special"/>
    <w:basedOn w:val="ReportHeading6"/>
    <w:next w:val="Normaallaad"/>
    <w:uiPriority w:val="1"/>
    <w:qFormat/>
    <w:pPr>
      <w:spacing w:before="0"/>
    </w:pPr>
    <w:rPr>
      <w:b w:val="0"/>
      <w:sz w:val="16"/>
    </w:rPr>
  </w:style>
  <w:style w:type="paragraph" w:styleId="SK5">
    <w:name w:val="toc 5"/>
    <w:basedOn w:val="SK4"/>
    <w:next w:val="Normaallaad"/>
    <w:uiPriority w:val="1"/>
    <w:qFormat/>
    <w:pPr>
      <w:ind w:left="799"/>
    </w:pPr>
  </w:style>
  <w:style w:type="paragraph" w:styleId="SK6">
    <w:name w:val="toc 6"/>
    <w:basedOn w:val="SK5"/>
    <w:next w:val="Normaallaad"/>
    <w:uiPriority w:val="1"/>
    <w:qFormat/>
    <w:pPr>
      <w:ind w:left="998"/>
    </w:pPr>
  </w:style>
  <w:style w:type="paragraph" w:styleId="Sisukorrapealkiri">
    <w:name w:val="TOC Heading"/>
    <w:basedOn w:val="Normaallaad"/>
    <w:next w:val="Normaallaad"/>
    <w:uiPriority w:val="39"/>
    <w:semiHidden/>
    <w:unhideWhenUsed/>
    <w:qFormat/>
    <w:rsid w:val="00E93869"/>
    <w:pPr>
      <w:keepNext/>
      <w:keepLines/>
      <w:widowControl/>
      <w:autoSpaceDE/>
      <w:autoSpaceDN/>
      <w:adjustRightInd/>
      <w:spacing w:before="480" w:line="276" w:lineRule="auto"/>
    </w:pPr>
    <w:rPr>
      <w:rFonts w:ascii="Cambria" w:eastAsia="MS Gothic" w:hAnsi="Cambria"/>
      <w:b/>
      <w:color w:val="365F91"/>
      <w:sz w:val="28"/>
      <w:szCs w:val="28"/>
      <w:lang w:val="en-US" w:eastAsia="ja-JP"/>
    </w:rPr>
  </w:style>
  <w:style w:type="character" w:styleId="Hperlink">
    <w:name w:val="Hyperlink"/>
    <w:uiPriority w:val="99"/>
    <w:unhideWhenUsed/>
    <w:rsid w:val="00E93869"/>
    <w:rPr>
      <w:rFonts w:cs="Times New Roman"/>
      <w:color w:val="0000FF"/>
      <w:u w:val="single"/>
    </w:rPr>
  </w:style>
  <w:style w:type="paragraph" w:styleId="Pis">
    <w:name w:val="header"/>
    <w:basedOn w:val="Normaallaad"/>
    <w:link w:val="PisMrk"/>
    <w:uiPriority w:val="99"/>
    <w:unhideWhenUsed/>
    <w:rsid w:val="00645523"/>
    <w:pPr>
      <w:tabs>
        <w:tab w:val="center" w:pos="4513"/>
        <w:tab w:val="right" w:pos="9026"/>
      </w:tabs>
    </w:pPr>
  </w:style>
  <w:style w:type="character" w:customStyle="1" w:styleId="PisMrk">
    <w:name w:val="Päis Märk"/>
    <w:link w:val="Pis"/>
    <w:uiPriority w:val="99"/>
    <w:locked/>
    <w:rsid w:val="00645523"/>
    <w:rPr>
      <w:rFonts w:ascii="Times" w:hAnsi="Times" w:cs="Times"/>
      <w:bCs/>
      <w:sz w:val="29"/>
      <w:szCs w:val="29"/>
      <w:lang w:val="de-DE" w:eastAsia="de-DE"/>
    </w:rPr>
  </w:style>
  <w:style w:type="paragraph" w:styleId="Jalus">
    <w:name w:val="footer"/>
    <w:basedOn w:val="Normaallaad"/>
    <w:link w:val="JalusMrk"/>
    <w:uiPriority w:val="99"/>
    <w:unhideWhenUsed/>
    <w:rsid w:val="00645523"/>
    <w:pPr>
      <w:tabs>
        <w:tab w:val="center" w:pos="4513"/>
        <w:tab w:val="right" w:pos="9026"/>
      </w:tabs>
    </w:pPr>
  </w:style>
  <w:style w:type="character" w:customStyle="1" w:styleId="JalusMrk">
    <w:name w:val="Jalus Märk"/>
    <w:link w:val="Jalus"/>
    <w:uiPriority w:val="99"/>
    <w:locked/>
    <w:rsid w:val="00645523"/>
    <w:rPr>
      <w:rFonts w:ascii="Times" w:hAnsi="Times" w:cs="Times"/>
      <w:bCs/>
      <w:sz w:val="29"/>
      <w:szCs w:val="29"/>
      <w:lang w:val="de-DE" w:eastAsia="de-D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140FD1"/>
    <w:rPr>
      <w:szCs w:val="20"/>
    </w:rPr>
  </w:style>
  <w:style w:type="character" w:customStyle="1" w:styleId="AllmrkusetekstMrk">
    <w:name w:val="Allmärkuse tekst Märk"/>
    <w:link w:val="Allmrkusetekst"/>
    <w:uiPriority w:val="99"/>
    <w:semiHidden/>
    <w:locked/>
    <w:rsid w:val="00140FD1"/>
    <w:rPr>
      <w:rFonts w:ascii="Times" w:hAnsi="Times" w:cs="Times"/>
      <w:bCs/>
      <w:sz w:val="20"/>
      <w:szCs w:val="20"/>
      <w:lang w:val="de-DE" w:eastAsia="de-DE"/>
    </w:rPr>
  </w:style>
  <w:style w:type="character" w:styleId="Allmrkuseviide">
    <w:name w:val="footnote reference"/>
    <w:uiPriority w:val="99"/>
    <w:semiHidden/>
    <w:unhideWhenUsed/>
    <w:rsid w:val="00140FD1"/>
    <w:rPr>
      <w:rFonts w:cs="Times New Roman"/>
      <w:vertAlign w:val="superscript"/>
    </w:rPr>
  </w:style>
  <w:style w:type="paragraph" w:styleId="Lpumrkusetekst">
    <w:name w:val="endnote text"/>
    <w:basedOn w:val="Normaallaad"/>
    <w:link w:val="LpumrkusetekstMrk"/>
    <w:uiPriority w:val="99"/>
    <w:semiHidden/>
    <w:unhideWhenUsed/>
    <w:rsid w:val="00140FD1"/>
    <w:rPr>
      <w:szCs w:val="20"/>
    </w:rPr>
  </w:style>
  <w:style w:type="character" w:customStyle="1" w:styleId="LpumrkusetekstMrk">
    <w:name w:val="Lõpumärkuse tekst Märk"/>
    <w:link w:val="Lpumrkusetekst"/>
    <w:uiPriority w:val="99"/>
    <w:semiHidden/>
    <w:locked/>
    <w:rsid w:val="00140FD1"/>
    <w:rPr>
      <w:rFonts w:ascii="Times" w:hAnsi="Times" w:cs="Times"/>
      <w:bCs/>
      <w:sz w:val="20"/>
      <w:szCs w:val="20"/>
      <w:lang w:val="de-DE" w:eastAsia="de-DE"/>
    </w:rPr>
  </w:style>
  <w:style w:type="character" w:styleId="Lpumrkuseviide">
    <w:name w:val="endnote reference"/>
    <w:uiPriority w:val="99"/>
    <w:semiHidden/>
    <w:unhideWhenUsed/>
    <w:rsid w:val="00140FD1"/>
    <w:rPr>
      <w:rFonts w:cs="Times New Roman"/>
      <w:vertAlign w:val="superscript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332B7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6332B7"/>
    <w:rPr>
      <w:rFonts w:ascii="Tahoma" w:hAnsi="Tahoma" w:cs="Tahoma"/>
      <w:bCs/>
      <w:sz w:val="16"/>
      <w:szCs w:val="16"/>
      <w:lang w:val="de-DE" w:eastAsia="de-DE"/>
    </w:rPr>
  </w:style>
  <w:style w:type="paragraph" w:styleId="Pealdis">
    <w:name w:val="caption"/>
    <w:basedOn w:val="Normaallaad"/>
    <w:next w:val="Normaallaad"/>
    <w:uiPriority w:val="35"/>
    <w:unhideWhenUsed/>
    <w:qFormat/>
    <w:rsid w:val="00F70CA8"/>
    <w:rPr>
      <w:b/>
      <w:szCs w:val="20"/>
    </w:rPr>
  </w:style>
  <w:style w:type="paragraph" w:styleId="Redaktsioon">
    <w:name w:val="Revision"/>
    <w:hidden/>
    <w:uiPriority w:val="99"/>
    <w:semiHidden/>
    <w:rsid w:val="00BA5889"/>
    <w:rPr>
      <w:rFonts w:ascii="Verdana" w:hAnsi="Verdana" w:cs="Times"/>
      <w:bCs/>
      <w:szCs w:val="29"/>
      <w:lang w:val="de-DE" w:eastAsia="de-DE"/>
    </w:rPr>
  </w:style>
  <w:style w:type="character" w:styleId="Kommentaariviide">
    <w:name w:val="annotation reference"/>
    <w:uiPriority w:val="99"/>
    <w:semiHidden/>
    <w:unhideWhenUsed/>
    <w:rsid w:val="00D3726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D3726D"/>
    <w:rPr>
      <w:szCs w:val="20"/>
    </w:rPr>
  </w:style>
  <w:style w:type="character" w:customStyle="1" w:styleId="KommentaaritekstMrk">
    <w:name w:val="Kommentaari tekst Märk"/>
    <w:link w:val="Kommentaaritekst"/>
    <w:uiPriority w:val="99"/>
    <w:rsid w:val="00D3726D"/>
    <w:rPr>
      <w:rFonts w:ascii="Verdana" w:hAnsi="Verdana" w:cs="Times"/>
      <w:bCs/>
      <w:lang w:val="de-DE" w:eastAsia="de-D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3726D"/>
    <w:rPr>
      <w:b/>
    </w:rPr>
  </w:style>
  <w:style w:type="character" w:customStyle="1" w:styleId="KommentaariteemaMrk">
    <w:name w:val="Kommentaari teema Märk"/>
    <w:link w:val="Kommentaariteema"/>
    <w:uiPriority w:val="99"/>
    <w:semiHidden/>
    <w:rsid w:val="00D3726D"/>
    <w:rPr>
      <w:rFonts w:ascii="Verdana" w:hAnsi="Verdana" w:cs="Times"/>
      <w:b/>
      <w:bCs/>
      <w:lang w:val="de-DE" w:eastAsia="de-DE"/>
    </w:rPr>
  </w:style>
  <w:style w:type="paragraph" w:styleId="Vahedeta">
    <w:name w:val="No Spacing"/>
    <w:uiPriority w:val="1"/>
    <w:qFormat/>
    <w:rsid w:val="00FA5A0B"/>
    <w:pPr>
      <w:widowControl w:val="0"/>
      <w:autoSpaceDE w:val="0"/>
      <w:autoSpaceDN w:val="0"/>
      <w:adjustRightInd w:val="0"/>
    </w:pPr>
    <w:rPr>
      <w:rFonts w:ascii="Verdana" w:hAnsi="Verdana" w:cs="Times"/>
      <w:bCs/>
      <w:szCs w:val="29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1664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Reinart</dc:creator>
  <cp:lastModifiedBy>Marianne Reinart</cp:lastModifiedBy>
  <cp:revision>3</cp:revision>
  <dcterms:created xsi:type="dcterms:W3CDTF">2021-03-04T09:35:00Z</dcterms:created>
  <dcterms:modified xsi:type="dcterms:W3CDTF">2021-03-04T10:00:00Z</dcterms:modified>
</cp:coreProperties>
</file>